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embeddings/Microsoft_Excel_Worksheet2.xlsx" ContentType="application/vnd.openxmlformats-officedocument.spreadsheetml.sheet"/>
  <Override PartName="/word/embeddings/Microsoft_Excel_Worksheet1.xlsx" ContentType="application/vnd.openxmlformats-officedocument.spreadsheetml.sheet"/>
  <Override PartName="/word/embeddings/Microsoft_Excel_Worksheet6.xlsx" ContentType="application/vnd.openxmlformats-officedocument.spreadsheetml.sheet"/>
  <Override PartName="/word/embeddings/Microsoft_Excel_Worksheet5.xlsx" ContentType="application/vnd.openxmlformats-officedocument.spreadsheetml.sheet"/>
  <Override PartName="/word/embeddings/Microsoft_Excel_Worksheet4.xlsx" ContentType="application/vnd.openxmlformats-officedocument.spreadsheetml.sheet"/>
  <Override PartName="/word/embeddings/Microsoft_Excel_Worksheet3.xlsx" ContentType="application/vnd.openxmlformats-officedocument.spreadsheetml.sheet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</w:rPr>
        <w:t xml:space="preserve">Аналіз стану з пожежами та наслідками від них в Рахівському районі                      за </w:t>
      </w:r>
      <w:r>
        <w:rPr>
          <w:rFonts w:cs="Times New Roman" w:ascii="Times New Roman" w:hAnsi="Times New Roman"/>
          <w:b/>
          <w:bCs/>
          <w:sz w:val="28"/>
          <w:lang w:val="en-US"/>
        </w:rPr>
        <w:t>I-</w:t>
      </w:r>
      <w:r>
        <w:rPr>
          <w:rFonts w:cs="Times New Roman" w:ascii="Times New Roman" w:hAnsi="Times New Roman"/>
          <w:b/>
          <w:bCs/>
          <w:sz w:val="28"/>
        </w:rPr>
        <w:t>й квартал 2024 року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AНАЛІТИЧНА ДОВІДКА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 пожежі та їх наслідки у Рахівському районі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 </w:t>
      </w:r>
      <w:r>
        <w:rPr>
          <w:rFonts w:cs="Times New Roman" w:ascii="Times New Roman" w:hAnsi="Times New Roman"/>
          <w:sz w:val="28"/>
          <w:szCs w:val="28"/>
          <w:lang w:val="en-US"/>
        </w:rPr>
        <w:t>I-</w:t>
      </w:r>
      <w:r>
        <w:rPr>
          <w:rFonts w:cs="Times New Roman" w:ascii="Times New Roman" w:hAnsi="Times New Roman"/>
          <w:sz w:val="28"/>
          <w:szCs w:val="28"/>
        </w:rPr>
        <w:t>й квартал 2024 року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Загальні дані про пожежі</w:t>
      </w:r>
    </w:p>
    <w:p>
      <w:pPr>
        <w:pStyle w:val="Normal"/>
        <w:tabs>
          <w:tab w:val="clear" w:pos="708"/>
          <w:tab w:val="left" w:pos="80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Станом на </w:t>
      </w:r>
      <w:r>
        <w:rPr>
          <w:rFonts w:cs="Times New Roman" w:ascii="Times New Roman" w:hAnsi="Times New Roman"/>
          <w:sz w:val="28"/>
          <w:szCs w:val="28"/>
        </w:rPr>
        <w:t>24</w:t>
      </w:r>
      <w:r>
        <w:rPr>
          <w:rFonts w:cs="Times New Roman" w:ascii="Times New Roman" w:hAnsi="Times New Roman"/>
          <w:sz w:val="28"/>
          <w:szCs w:val="28"/>
        </w:rPr>
        <w:t xml:space="preserve"> квітня на  території Рахівського району  зареєстровано                </w:t>
      </w:r>
      <w:r>
        <w:rPr>
          <w:rFonts w:cs="Times New Roman" w:ascii="Times New Roman" w:hAnsi="Times New Roman"/>
          <w:sz w:val="28"/>
          <w:szCs w:val="28"/>
          <w:lang w:val="ru-RU"/>
        </w:rPr>
        <w:t>43</w:t>
      </w:r>
      <w:r>
        <w:rPr>
          <w:rFonts w:cs="Times New Roman" w:ascii="Times New Roman" w:hAnsi="Times New Roman"/>
          <w:sz w:val="28"/>
          <w:szCs w:val="28"/>
        </w:rPr>
        <w:t xml:space="preserve"> пожеж</w:t>
      </w:r>
      <w:r>
        <w:rPr>
          <w:rFonts w:cs="Times New Roman" w:ascii="Times New Roman" w:hAnsi="Times New Roman"/>
          <w:sz w:val="28"/>
          <w:szCs w:val="28"/>
        </w:rPr>
        <w:t>і</w:t>
      </w:r>
      <w:r>
        <w:rPr>
          <w:rFonts w:cs="Times New Roman" w:ascii="Times New Roman" w:hAnsi="Times New Roman"/>
          <w:sz w:val="28"/>
          <w:szCs w:val="28"/>
        </w:rPr>
        <w:t xml:space="preserve"> проти </w:t>
      </w:r>
      <w:r>
        <w:rPr>
          <w:rFonts w:cs="Times New Roman" w:ascii="Times New Roman" w:hAnsi="Times New Roman"/>
          <w:sz w:val="28"/>
          <w:szCs w:val="28"/>
        </w:rPr>
        <w:t>36</w:t>
      </w:r>
      <w:r>
        <w:rPr>
          <w:rFonts w:cs="Times New Roman" w:ascii="Times New Roman" w:hAnsi="Times New Roman"/>
          <w:sz w:val="28"/>
          <w:szCs w:val="28"/>
        </w:rPr>
        <w:t xml:space="preserve"> в 2023 році. Порівняно з 2023 роком кількість пожеж збільшилась на </w:t>
      </w:r>
      <w:r>
        <w:rPr>
          <w:rFonts w:cs="Times New Roman" w:ascii="Times New Roman" w:hAnsi="Times New Roman"/>
          <w:sz w:val="28"/>
          <w:szCs w:val="28"/>
        </w:rPr>
        <w:t>19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  <w:lang w:val="ru-RU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%.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Унаслідок пожеж загинуло </w:t>
      </w:r>
      <w:r>
        <w:rPr>
          <w:rFonts w:cs="Times New Roman" w:ascii="Times New Roman" w:hAnsi="Times New Roman"/>
          <w:sz w:val="28"/>
          <w:szCs w:val="28"/>
          <w:lang w:val="ru-RU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осіб; травмовано внаслідок пожеж не було, в 2023 році загинуло також 2 осіб; травмованих внаслідок пожеж не було.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Матеріальні втрати від пожеж склали </w:t>
      </w:r>
      <w:r>
        <w:rPr>
          <w:rFonts w:cs="Times New Roman" w:ascii="Times New Roman" w:hAnsi="Times New Roman"/>
          <w:sz w:val="28"/>
          <w:szCs w:val="28"/>
          <w:lang w:val="ru-RU"/>
        </w:rPr>
        <w:t>19</w:t>
      </w:r>
      <w:r>
        <w:rPr>
          <w:rFonts w:cs="Times New Roman" w:ascii="Times New Roman" w:hAnsi="Times New Roman"/>
          <w:sz w:val="28"/>
          <w:szCs w:val="28"/>
        </w:rPr>
        <w:t xml:space="preserve"> млн. </w:t>
      </w:r>
      <w:r>
        <w:rPr>
          <w:rFonts w:cs="Times New Roman" w:ascii="Times New Roman" w:hAnsi="Times New Roman"/>
          <w:sz w:val="28"/>
          <w:szCs w:val="28"/>
          <w:lang w:val="ru-RU"/>
        </w:rPr>
        <w:t>242</w:t>
      </w:r>
      <w:r>
        <w:rPr>
          <w:rFonts w:cs="Times New Roman" w:ascii="Times New Roman" w:hAnsi="Times New Roman"/>
          <w:sz w:val="28"/>
          <w:szCs w:val="28"/>
        </w:rPr>
        <w:t xml:space="preserve"> тис. 322 грн. (із них прямі збитки становлять </w:t>
      </w:r>
      <w:r>
        <w:rPr>
          <w:rFonts w:cs="Times New Roman" w:ascii="Times New Roman" w:hAnsi="Times New Roman"/>
          <w:sz w:val="28"/>
          <w:szCs w:val="28"/>
          <w:lang w:val="ru-RU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млн. 200 тис. 500 грн.; побічні – 18 млн. </w:t>
      </w:r>
      <w:r>
        <w:rPr>
          <w:rFonts w:cs="Times New Roman" w:ascii="Times New Roman" w:hAnsi="Times New Roman"/>
          <w:sz w:val="28"/>
          <w:szCs w:val="28"/>
          <w:lang w:val="ru-RU"/>
        </w:rPr>
        <w:t>041</w:t>
      </w:r>
      <w:r>
        <w:rPr>
          <w:rFonts w:cs="Times New Roman" w:ascii="Times New Roman" w:hAnsi="Times New Roman"/>
          <w:sz w:val="28"/>
          <w:szCs w:val="28"/>
        </w:rPr>
        <w:t xml:space="preserve"> тис. 822 грн.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b/>
          <w:sz w:val="28"/>
          <w:szCs w:val="28"/>
        </w:rPr>
        <w:t>Пожежі у містах (смт.) і сільській місцевості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Упродовж 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-го кварталу 2024 року у містах і селищах міського типу та поза межами міських населених пунктів Рахівського району (далі – у містах) зареєстровано </w:t>
      </w:r>
      <w:r>
        <w:rPr>
          <w:rFonts w:cs="Times New Roman" w:ascii="Times New Roman" w:hAnsi="Times New Roman"/>
          <w:b/>
          <w:i/>
          <w:sz w:val="28"/>
          <w:szCs w:val="28"/>
        </w:rPr>
        <w:t>2</w:t>
      </w:r>
      <w:r>
        <w:rPr>
          <w:rFonts w:cs="Times New Roman" w:ascii="Times New Roman" w:hAnsi="Times New Roman"/>
          <w:b/>
          <w:i/>
          <w:sz w:val="28"/>
          <w:szCs w:val="28"/>
        </w:rPr>
        <w:t>9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 пожеж</w:t>
      </w:r>
      <w:r>
        <w:rPr>
          <w:rFonts w:cs="Times New Roman" w:ascii="Times New Roman" w:hAnsi="Times New Roman"/>
          <w:sz w:val="28"/>
          <w:szCs w:val="28"/>
        </w:rPr>
        <w:t>; порівняно з 2023 роком їх кількість збільшилася на  3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8</w:t>
      </w:r>
      <w:r>
        <w:rPr>
          <w:rFonts w:cs="Times New Roman" w:ascii="Times New Roman" w:hAnsi="Times New Roman"/>
          <w:sz w:val="28"/>
          <w:szCs w:val="28"/>
        </w:rPr>
        <w:t xml:space="preserve"> %.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Упродовж 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-го кварталу 2024 року у сільській місцевості та поза межами сільських населених пунктів Рахівського району (далі – у селах) зареєстровано </w:t>
      </w:r>
      <w:r>
        <w:rPr>
          <w:rFonts w:cs="Times New Roman" w:ascii="Times New Roman" w:hAnsi="Times New Roman"/>
          <w:b/>
          <w:i/>
          <w:sz w:val="28"/>
          <w:szCs w:val="28"/>
        </w:rPr>
        <w:t>1</w:t>
      </w:r>
      <w:r>
        <w:rPr>
          <w:rFonts w:cs="Times New Roman" w:ascii="Times New Roman" w:hAnsi="Times New Roman"/>
          <w:b/>
          <w:i/>
          <w:sz w:val="28"/>
          <w:szCs w:val="28"/>
        </w:rPr>
        <w:t>4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  пожеж.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bookmarkStart w:id="0" w:name="__DdeLink__4003_553839458"/>
      <w:bookmarkEnd w:id="0"/>
      <w:r>
        <w:rPr>
          <w:rFonts w:cs="Times New Roman" w:ascii="Times New Roman" w:hAnsi="Times New Roman"/>
          <w:sz w:val="28"/>
          <w:szCs w:val="28"/>
        </w:rPr>
        <w:t xml:space="preserve">Унаслідок пожеж у місті загинула 1 особа, та </w:t>
      </w:r>
      <w:r>
        <w:rPr>
          <w:rFonts w:cs="Times New Roman" w:ascii="Times New Roman" w:hAnsi="Times New Roman"/>
          <w:b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особа в сільському населеному пункті.</w:t>
      </w:r>
    </w:p>
    <w:p>
      <w:pPr>
        <w:pStyle w:val="Normal"/>
        <w:tabs>
          <w:tab w:val="clear" w:pos="708"/>
          <w:tab w:val="center" w:pos="5040" w:leader="none"/>
          <w:tab w:val="right" w:pos="10080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 xml:space="preserve">          На території Рахівського району, станом на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24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квітня 2024 року, виникло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43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i/>
          <w:color w:val="000000"/>
          <w:sz w:val="28"/>
          <w:szCs w:val="28"/>
          <w:lang w:eastAsia="ru-RU"/>
        </w:rPr>
        <w:t>пожеж</w:t>
      </w:r>
      <w:r>
        <w:rPr>
          <w:rFonts w:eastAsia="Times New Roman" w:cs="Times New Roman" w:ascii="Times New Roman" w:hAnsi="Times New Roman"/>
          <w:b/>
          <w:i/>
          <w:color w:val="000000"/>
          <w:sz w:val="28"/>
          <w:szCs w:val="28"/>
          <w:lang w:eastAsia="ru-RU"/>
        </w:rPr>
        <w:t>і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проти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36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 2023 році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 –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спостерігається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збільшення кількості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пожеж на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19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%</w:t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i/>
          <w:color w:val="000000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Аналіз показав, що збільшення кількості пожеж спостерігається в наступних населених пунктах -  смт. Ясіня з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5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пожеж у 2023 році до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10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пожеж у 2024 році, с. Верхнє Водяне з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2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пожеж у 2023 році до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4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пожеж у 2024  році,           с. Лазещина з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1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пожежі у 2023 році до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5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пожеж у 2024 році.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>У місті та селищах міського типу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виникло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>2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>9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пожеж. В порівнянні з минулим роком кількість пожеж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зменшилася  на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3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1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8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 %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(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  <w:lang w:val="ru-RU"/>
        </w:rPr>
        <w:t>22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 пожеж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>і</w:t>
      </w:r>
      <w:r>
        <w:rPr>
          <w:rFonts w:eastAsia="Times New Roman" w:cs="Times New Roman" w:ascii="Times New Roman" w:hAnsi="Times New Roman"/>
          <w:sz w:val="28"/>
          <w:szCs w:val="28"/>
        </w:rPr>
        <w:t>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>У сільській місцевості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виникло </w:t>
      </w:r>
      <w:r>
        <w:rPr>
          <w:rFonts w:eastAsia="Times New Roman" w:cs="Times New Roman" w:ascii="Times New Roman" w:hAnsi="Times New Roman"/>
          <w:b/>
          <w:color w:val="17365D" w:themeColor="text2" w:themeShade="bf"/>
          <w:sz w:val="28"/>
          <w:szCs w:val="28"/>
        </w:rPr>
        <w:t>1</w:t>
      </w:r>
      <w:r>
        <w:rPr>
          <w:rFonts w:eastAsia="Times New Roman" w:cs="Times New Roman" w:ascii="Times New Roman" w:hAnsi="Times New Roman"/>
          <w:b/>
          <w:color w:val="17365D" w:themeColor="text2" w:themeShade="bf"/>
          <w:sz w:val="28"/>
          <w:szCs w:val="28"/>
        </w:rPr>
        <w:t>4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пожеж.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У 2023 році також виникло      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>14 пожеж.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hanging="0"/>
        <w:jc w:val="center"/>
        <w:rPr/>
      </w:pPr>
      <w:r>
        <w:rPr/>
      </w:r>
    </w:p>
    <w:p>
      <w:pPr>
        <w:pStyle w:val="Normal"/>
        <w:tabs>
          <w:tab w:val="clear" w:pos="708"/>
          <w:tab w:val="center" w:pos="5040" w:leader="none"/>
          <w:tab w:val="right" w:pos="10080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</w:t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>Відомості про пожежі</w:t>
      </w:r>
    </w:p>
    <w:p>
      <w:pPr>
        <w:pStyle w:val="Normal"/>
        <w:numPr>
          <w:ilvl w:val="0"/>
          <w:numId w:val="0"/>
        </w:numPr>
        <w:spacing w:lineRule="auto" w:line="240"/>
        <w:outlineLvl w:val="0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 xml:space="preserve">      </w:t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 xml:space="preserve">по району станом на </w:t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>24</w:t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 xml:space="preserve"> квітня 2024 року у порівнянні  з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>2023 роком</w:t>
      </w:r>
    </w:p>
    <w:tbl>
      <w:tblPr>
        <w:tblW w:w="8222" w:type="dxa"/>
        <w:jc w:val="left"/>
        <w:tblInd w:w="709" w:type="dxa"/>
        <w:tblCellMar>
          <w:top w:w="0" w:type="dxa"/>
          <w:left w:w="56" w:type="dxa"/>
          <w:bottom w:w="0" w:type="dxa"/>
          <w:right w:w="56" w:type="dxa"/>
        </w:tblCellMar>
        <w:tblLook w:val="0000" w:noHBand="0" w:noVBand="0" w:firstColumn="0" w:lastRow="0" w:lastColumn="0" w:firstRow="0"/>
      </w:tblPr>
      <w:tblGrid>
        <w:gridCol w:w="789"/>
        <w:gridCol w:w="4227"/>
        <w:gridCol w:w="1560"/>
        <w:gridCol w:w="1645"/>
      </w:tblGrid>
      <w:tr>
        <w:trPr>
          <w:trHeight w:val="322" w:hRule="atLeast"/>
          <w:cantSplit w:val="true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№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Назва населеного пункту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60" w:hRule="atLeast"/>
          <w:cantSplit w:val="true"/>
        </w:trPr>
        <w:tc>
          <w:tcPr>
            <w:tcW w:w="7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2024</w:t>
            </w:r>
          </w:p>
        </w:tc>
      </w:tr>
      <w:tr>
        <w:trPr>
          <w:trHeight w:val="204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               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4</w:t>
            </w:r>
          </w:p>
        </w:tc>
      </w:tr>
      <w:tr>
        <w:trPr>
          <w:trHeight w:val="379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567" w:hanging="36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м. Рахів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5" w:leader="none"/>
              </w:tabs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jc w:val="right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10</w:t>
            </w:r>
          </w:p>
        </w:tc>
      </w:tr>
      <w:tr>
        <w:trPr>
          <w:trHeight w:val="379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567" w:hanging="36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смт. Великий Бичків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5" w:leader="none"/>
              </w:tabs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jc w:val="right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8</w:t>
            </w:r>
          </w:p>
        </w:tc>
      </w:tr>
      <w:tr>
        <w:trPr>
          <w:trHeight w:val="204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567" w:hanging="36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с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мт. Ясіня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jc w:val="right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10</w:t>
            </w:r>
          </w:p>
        </w:tc>
      </w:tr>
      <w:tr>
        <w:trPr>
          <w:trHeight w:val="204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567" w:hanging="36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с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мт. Кобилецька Поляна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jc w:val="right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1</w:t>
            </w:r>
          </w:p>
        </w:tc>
      </w:tr>
      <w:tr>
        <w:trPr>
          <w:trHeight w:val="204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567" w:hanging="36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с.Верхнє Водяне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jc w:val="right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 xml:space="preserve">          </w:t>
            </w:r>
          </w:p>
        </w:tc>
      </w:tr>
      <w:tr>
        <w:trPr>
          <w:trHeight w:val="204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567" w:hanging="36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с.Водиця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 xml:space="preserve">              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jc w:val="right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</w:tr>
      <w:tr>
        <w:trPr>
          <w:trHeight w:val="204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567" w:hanging="36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с.Луг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jc w:val="right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 xml:space="preserve">          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</w:tr>
      <w:tr>
        <w:trPr>
          <w:trHeight w:val="204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567" w:hanging="36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с.Росішка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 xml:space="preserve">1        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jc w:val="right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</w:tr>
      <w:tr>
        <w:trPr>
          <w:trHeight w:val="204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567" w:hanging="36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с.Косівська Поляна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jc w:val="right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 xml:space="preserve">          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</w:tr>
      <w:tr>
        <w:trPr>
          <w:trHeight w:val="204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567" w:hanging="36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с.Ділове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jc w:val="right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1</w:t>
            </w:r>
          </w:p>
        </w:tc>
      </w:tr>
      <w:tr>
        <w:trPr>
          <w:trHeight w:val="204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567" w:hanging="36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с.Костилівка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>2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 xml:space="preserve">      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jc w:val="right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 xml:space="preserve">          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 xml:space="preserve">1           </w:t>
            </w:r>
          </w:p>
        </w:tc>
      </w:tr>
      <w:tr>
        <w:trPr>
          <w:trHeight w:val="204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567" w:hanging="36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с.Білин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jc w:val="right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</w:tr>
      <w:tr>
        <w:trPr>
          <w:trHeight w:val="204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567" w:hanging="36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с.Кваси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 xml:space="preserve">1          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jc w:val="right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 xml:space="preserve">          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1</w:t>
            </w:r>
          </w:p>
        </w:tc>
      </w:tr>
      <w:tr>
        <w:trPr>
          <w:trHeight w:val="204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567" w:hanging="36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с.Чорна Тиса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jc w:val="right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</w:tr>
      <w:tr>
        <w:trPr>
          <w:trHeight w:val="204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567" w:hanging="36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с.Лазещина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15" w:leader="none"/>
              </w:tabs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jc w:val="right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5</w:t>
            </w:r>
          </w:p>
        </w:tc>
      </w:tr>
      <w:tr>
        <w:trPr>
          <w:trHeight w:val="204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567" w:hanging="36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с.Розтоки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jc w:val="right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</w:tr>
      <w:tr>
        <w:trPr>
          <w:trHeight w:val="204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567" w:hanging="36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с.Видричка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jc w:val="right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</w:tr>
      <w:tr>
        <w:trPr>
          <w:trHeight w:val="204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567" w:hanging="36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с.Богдан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jc w:val="right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1</w:t>
            </w:r>
          </w:p>
        </w:tc>
      </w:tr>
      <w:tr>
        <w:trPr>
          <w:trHeight w:val="204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567" w:hanging="36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с.Луги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jc w:val="right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1</w:t>
            </w:r>
          </w:p>
        </w:tc>
      </w:tr>
      <w:tr>
        <w:trPr>
          <w:trHeight w:val="317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Всього по району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67" w:hanging="0"/>
              <w:jc w:val="right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43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Станом на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24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квітня найбільше пожеж виникло у наступних населених пунктах: м. Рахів –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ru-RU" w:eastAsia="ru-RU"/>
        </w:rPr>
        <w:t>10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пожеж, Великий Бичків –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8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пожеж, смт. Ясіня –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ru-RU" w:eastAsia="ru-RU"/>
        </w:rPr>
        <w:t>10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пожеж.                                                 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Однак є населені пункти де не виникло жодної пожежі - с. Видричка,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 xml:space="preserve">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с. Розтоки, с. Чорна Тиса, с. Білин, с. Косівська Поляна, с. Росішка, с. Луг,            с. Водиця.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        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Аналіз виникнення пожеж за часом доби показав, що найнебезпечніші                            години це з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06 години до  15 години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-  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>1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>3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випадків пожеж, з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15 години до 22 години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виникло 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>20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пожеж, а з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22 години до 06 години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виникло </w:t>
      </w: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</w:rPr>
        <w:t>10</w:t>
      </w:r>
      <w:r>
        <w:rPr>
          <w:rFonts w:eastAsia="Times New Roman" w:cs="Times New Roman" w:ascii="Times New Roman" w:hAnsi="Times New Roman"/>
          <w:b/>
          <w:i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пожеж.</w:t>
      </w:r>
    </w:p>
    <w:p>
      <w:pPr>
        <w:pStyle w:val="Normal"/>
        <w:spacing w:lineRule="auto" w:line="240" w:before="0" w:after="0"/>
        <w:ind w:left="1560" w:hanging="156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1560" w:hanging="156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1560" w:hanging="156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1560" w:hanging="156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1560" w:hanging="156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1560" w:hanging="156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1560" w:hanging="156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1560" w:hanging="156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1560" w:hanging="156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1560" w:hanging="156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9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Відомості про кількість загиблих внаслідок пожеж  по району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tbl>
      <w:tblPr>
        <w:tblW w:w="6748" w:type="dxa"/>
        <w:jc w:val="left"/>
        <w:tblInd w:w="1530" w:type="dxa"/>
        <w:tblCellMar>
          <w:top w:w="0" w:type="dxa"/>
          <w:left w:w="56" w:type="dxa"/>
          <w:bottom w:w="0" w:type="dxa"/>
          <w:right w:w="56" w:type="dxa"/>
        </w:tblCellMar>
        <w:tblLook w:val="0000" w:noHBand="0" w:noVBand="0" w:firstColumn="0" w:lastRow="0" w:lastColumn="0" w:firstRow="0"/>
      </w:tblPr>
      <w:tblGrid>
        <w:gridCol w:w="587"/>
        <w:gridCol w:w="2616"/>
        <w:gridCol w:w="21"/>
        <w:gridCol w:w="971"/>
        <w:gridCol w:w="21"/>
        <w:gridCol w:w="830"/>
        <w:gridCol w:w="22"/>
        <w:gridCol w:w="849"/>
        <w:gridCol w:w="36"/>
        <w:gridCol w:w="782"/>
        <w:gridCol w:w="12"/>
      </w:tblGrid>
      <w:tr>
        <w:trPr>
          <w:trHeight w:val="312" w:hRule="atLeast"/>
          <w:cantSplit w:val="true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№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br/>
              <w:t>з/п</w:t>
            </w:r>
          </w:p>
        </w:tc>
        <w:tc>
          <w:tcPr>
            <w:tcW w:w="26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Назва регіону</w:t>
            </w:r>
          </w:p>
        </w:tc>
        <w:tc>
          <w:tcPr>
            <w:tcW w:w="35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Загинуло на пожежах людей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20" w:hRule="atLeast"/>
          <w:cantSplit w:val="true"/>
        </w:trPr>
        <w:tc>
          <w:tcPr>
            <w:tcW w:w="5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3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Всього</w:t>
            </w:r>
          </w:p>
        </w:tc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Дітей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5" w:hRule="atLeast"/>
          <w:cantSplit w:val="true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5" w:hRule="atLeast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3" w:hRule="atLeast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28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м.Рахів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93" w:hRule="atLeast"/>
        </w:trPr>
        <w:tc>
          <w:tcPr>
            <w:tcW w:w="587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3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смт.Ясіня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4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1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1" w:hRule="atLeast"/>
        </w:trPr>
        <w:tc>
          <w:tcPr>
            <w:tcW w:w="587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3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смт.Великий Бичків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4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1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1" w:hRule="atLeast"/>
        </w:trPr>
        <w:tc>
          <w:tcPr>
            <w:tcW w:w="587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3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смт.Кобилецька Поляна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4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1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1" w:hRule="atLeast"/>
        </w:trPr>
        <w:tc>
          <w:tcPr>
            <w:tcW w:w="587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3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с.Верхнє Водяне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4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1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1" w:hRule="atLeast"/>
        </w:trPr>
        <w:tc>
          <w:tcPr>
            <w:tcW w:w="587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3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с.Водиця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4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1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1" w:hRule="atLeast"/>
        </w:trPr>
        <w:tc>
          <w:tcPr>
            <w:tcW w:w="587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263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с.Луг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4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1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1" w:hRule="atLeast"/>
        </w:trPr>
        <w:tc>
          <w:tcPr>
            <w:tcW w:w="587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3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с.Росішка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4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1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1" w:hRule="atLeast"/>
        </w:trPr>
        <w:tc>
          <w:tcPr>
            <w:tcW w:w="587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3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с.Косівська Поляна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4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1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1" w:hRule="atLeast"/>
        </w:trPr>
        <w:tc>
          <w:tcPr>
            <w:tcW w:w="587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63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с.Ділове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4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1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1" w:hRule="atLeast"/>
        </w:trPr>
        <w:tc>
          <w:tcPr>
            <w:tcW w:w="587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3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с.Костилівка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4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1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1" w:hRule="atLeast"/>
        </w:trPr>
        <w:tc>
          <w:tcPr>
            <w:tcW w:w="587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63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с.Білин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4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1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1" w:hRule="atLeast"/>
        </w:trPr>
        <w:tc>
          <w:tcPr>
            <w:tcW w:w="587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63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с.Кваси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4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1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1" w:hRule="atLeast"/>
        </w:trPr>
        <w:tc>
          <w:tcPr>
            <w:tcW w:w="587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63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с.Чорна Тиса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4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1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1" w:hRule="atLeast"/>
        </w:trPr>
        <w:tc>
          <w:tcPr>
            <w:tcW w:w="587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63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с.Лазещина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4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1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1" w:hRule="atLeast"/>
        </w:trPr>
        <w:tc>
          <w:tcPr>
            <w:tcW w:w="587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63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с.Розтоки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4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1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1" w:hRule="atLeast"/>
        </w:trPr>
        <w:tc>
          <w:tcPr>
            <w:tcW w:w="587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63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с.Видричка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4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1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1" w:hRule="atLeast"/>
        </w:trPr>
        <w:tc>
          <w:tcPr>
            <w:tcW w:w="587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63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с.Богдан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4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1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1" w:hRule="atLeast"/>
        </w:trPr>
        <w:tc>
          <w:tcPr>
            <w:tcW w:w="587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63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с.Луги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4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1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1" w:hRule="atLeast"/>
        </w:trPr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Всього по району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 xml:space="preserve">Упродовж 3 місяців 2024 року внаслідок пожеж загинуло </w:t>
      </w:r>
      <w:r>
        <w:rPr>
          <w:rFonts w:cs="Times New Roman" w:ascii="Times New Roman" w:hAnsi="Times New Roman"/>
          <w:sz w:val="28"/>
          <w:szCs w:val="28"/>
          <w:lang w:val="ru-RU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осіб. Порівняно з аналогічним періодом 2023 року їх кількість не збільшилася  (</w:t>
      </w:r>
      <w:r>
        <w:rPr>
          <w:rFonts w:cs="Times New Roman" w:ascii="Times New Roman" w:hAnsi="Times New Roman"/>
          <w:sz w:val="28"/>
          <w:szCs w:val="28"/>
          <w:lang w:val="ru-RU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проти 2).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Розподіл пожеж за об’єктами їх виникнення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Станом на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24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квітня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2024 року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i/>
          <w:color w:val="000000"/>
          <w:sz w:val="28"/>
          <w:szCs w:val="28"/>
        </w:rPr>
        <w:t>на підконтрольних об’єктах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кількість пожеж становить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1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 xml:space="preserve"> проти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3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>у 202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>3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 xml:space="preserve"> році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. По кожній пожежі на об’єктах були проведені службові розслідування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та вживалися відповідні заходи реагування. </w:t>
      </w:r>
    </w:p>
    <w:p>
      <w:pPr>
        <w:pStyle w:val="Normal"/>
        <w:tabs>
          <w:tab w:val="clear" w:pos="708"/>
          <w:tab w:val="center" w:pos="5040" w:leader="none"/>
          <w:tab w:val="right" w:pos="1008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Впродовж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місяців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2024 року внаслідок пожеж  було пошкоджено                      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>1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одиницю транспортних засобів проти 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0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у 2023 році.</w:t>
      </w:r>
    </w:p>
    <w:p>
      <w:pPr>
        <w:pStyle w:val="Normal"/>
        <w:tabs>
          <w:tab w:val="clear" w:pos="708"/>
          <w:tab w:val="center" w:pos="5040" w:leader="none"/>
          <w:tab w:val="right" w:pos="1008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У </w:t>
      </w:r>
      <w:r>
        <w:rPr>
          <w:rFonts w:cs="Times New Roman" w:ascii="Times New Roman" w:hAnsi="Times New Roman"/>
          <w:i/>
          <w:sz w:val="28"/>
          <w:szCs w:val="28"/>
        </w:rPr>
        <w:t>будівлях виробничого призначення та виробничих цехів</w:t>
      </w:r>
      <w:r>
        <w:rPr>
          <w:rFonts w:cs="Times New Roman" w:ascii="Times New Roman" w:hAnsi="Times New Roman"/>
          <w:sz w:val="28"/>
          <w:szCs w:val="28"/>
        </w:rPr>
        <w:t xml:space="preserve"> не виникало жодної пожежі.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 xml:space="preserve">У </w:t>
      </w:r>
      <w:r>
        <w:rPr>
          <w:rFonts w:cs="Times New Roman" w:ascii="Times New Roman" w:hAnsi="Times New Roman"/>
          <w:i/>
          <w:sz w:val="28"/>
          <w:szCs w:val="28"/>
        </w:rPr>
        <w:t>будівлях об’єктів торгівлі та харчування</w:t>
      </w:r>
      <w:r>
        <w:rPr>
          <w:rFonts w:cs="Times New Roman" w:ascii="Times New Roman" w:hAnsi="Times New Roman"/>
          <w:sz w:val="28"/>
          <w:szCs w:val="28"/>
        </w:rPr>
        <w:t xml:space="preserve"> виникла 1 пожежа, що становить 2,7 % від загальної кількості пожеж на об’єктах, на яких здійснюється державний нагляд (контроль) у сфері техногенної та пожежної безпеки.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 xml:space="preserve">У </w:t>
      </w:r>
      <w:r>
        <w:rPr>
          <w:rFonts w:cs="Times New Roman" w:ascii="Times New Roman" w:hAnsi="Times New Roman"/>
          <w:i/>
          <w:sz w:val="28"/>
          <w:szCs w:val="28"/>
        </w:rPr>
        <w:t>спорудах соціально-культурного, громадського та адміністративного призначення, культових спорудах</w:t>
      </w:r>
      <w:r>
        <w:rPr>
          <w:rFonts w:cs="Times New Roman" w:ascii="Times New Roman" w:hAnsi="Times New Roman"/>
          <w:sz w:val="28"/>
          <w:szCs w:val="28"/>
        </w:rPr>
        <w:t xml:space="preserve"> не виникало жодної пожежі. 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 xml:space="preserve">На </w:t>
      </w:r>
      <w:r>
        <w:rPr>
          <w:rFonts w:cs="Times New Roman" w:ascii="Times New Roman" w:hAnsi="Times New Roman"/>
          <w:i/>
          <w:sz w:val="28"/>
          <w:szCs w:val="28"/>
        </w:rPr>
        <w:t>транспортних засобах</w:t>
      </w:r>
      <w:r>
        <w:rPr>
          <w:rFonts w:cs="Times New Roman" w:ascii="Times New Roman" w:hAnsi="Times New Roman"/>
          <w:sz w:val="28"/>
          <w:szCs w:val="28"/>
        </w:rPr>
        <w:t xml:space="preserve"> виникла 1 пожежа.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  <w:t xml:space="preserve">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FF0000"/>
          <w:sz w:val="28"/>
          <w:szCs w:val="28"/>
          <w:lang w:val="ru-RU"/>
        </w:rPr>
        <w:t xml:space="preserve">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Значне підвищення температури  у літню пору  та суха погода сприяли виникненню пожеж в екосистемах на території району. Так, станом на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24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квітня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2024 року виникло 15 пожеж в екосистемах проти 6 пожеж що на       60,0 % менше за аналогічний період минулого року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Розподіл пожеж за причинами їх виникнення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Проводячи аналіз пожеж встановлено, що найпоширенішими причинами пожеж є – необережне поводження з вогнем ( 2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пожеж</w:t>
      </w:r>
      <w:r>
        <w:rPr>
          <w:rFonts w:cs="Times New Roman" w:ascii="Times New Roman" w:hAnsi="Times New Roman"/>
          <w:sz w:val="28"/>
          <w:szCs w:val="28"/>
        </w:rPr>
        <w:t>і</w:t>
      </w:r>
      <w:r>
        <w:rPr>
          <w:rFonts w:cs="Times New Roman" w:ascii="Times New Roman" w:hAnsi="Times New Roman"/>
          <w:sz w:val="28"/>
          <w:szCs w:val="28"/>
        </w:rPr>
        <w:t>), порушення Правил пожежної безпеки при монтажі та експлуатації електромережі (1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пожеж), порушення Правил пожежної безпеки при монтажі та експлуатації пічного обладнання (</w:t>
      </w:r>
      <w:r>
        <w:rPr>
          <w:rFonts w:cs="Times New Roman" w:ascii="Times New Roman" w:hAnsi="Times New Roman"/>
          <w:sz w:val="28"/>
          <w:szCs w:val="28"/>
        </w:rPr>
        <w:t xml:space="preserve">6 </w:t>
      </w:r>
      <w:r>
        <w:rPr>
          <w:rFonts w:cs="Times New Roman" w:ascii="Times New Roman" w:hAnsi="Times New Roman"/>
          <w:sz w:val="28"/>
          <w:szCs w:val="28"/>
        </w:rPr>
        <w:t>пожеж), порушення Правил пожежної безпеки під час електрозварювальних робіт ( 1 пожежа).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134" w:right="991" w:header="0" w:top="566" w:footer="0" w:bottom="1440" w:gutter="0"/>
      <w:pgNumType w:start="1" w:fmt="decimal"/>
      <w:formProt w:val="false"/>
      <w:textDirection w:val="lrTb"/>
      <w:docGrid w:type="default" w:linePitch="240" w:charSpace="429495685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uk-UA" w:eastAsia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3e0b3f"/>
    <w:rPr>
      <w:rFonts w:ascii="Tahoma" w:hAnsi="Tahoma" w:cs="Tahoma"/>
      <w:sz w:val="16"/>
      <w:szCs w:val="16"/>
    </w:rPr>
  </w:style>
  <w:style w:type="character" w:styleId="Style15">
    <w:name w:val="Гіперпосилання"/>
    <w:basedOn w:val="DefaultParagraphFont"/>
    <w:uiPriority w:val="99"/>
    <w:unhideWhenUsed/>
    <w:rsid w:val="00a53fa6"/>
    <w:rPr>
      <w:color w:val="0000FF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Lohit Devanagari"/>
    </w:rPr>
  </w:style>
  <w:style w:type="paragraph" w:styleId="1" w:customStyle="1">
    <w:name w:val="Цитата1"/>
    <w:basedOn w:val="Normal"/>
    <w:qFormat/>
    <w:rsid w:val="003e0b3f"/>
    <w:pPr>
      <w:widowControl w:val="false"/>
      <w:suppressAutoHyphens w:val="true"/>
      <w:spacing w:lineRule="auto" w:line="252" w:before="280" w:after="120"/>
      <w:ind w:left="-709" w:right="141" w:firstLine="851"/>
      <w:jc w:val="center"/>
    </w:pPr>
    <w:rPr>
      <w:rFonts w:ascii="Liberation Serif" w:hAnsi="Liberation Serif" w:eastAsia="WenQuanYi Micro Hei" w:cs="Lohit Devanagari"/>
      <w:color w:val="00000A"/>
      <w:szCs w:val="28"/>
      <w:lang w:eastAsia="zh-CN" w:bidi="hi-IN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3e0b3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0bd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08414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3e0b3f"/>
    <w:pPr>
      <w:spacing w:after="0" w:line="240" w:lineRule="auto"/>
    </w:pPr>
    <w:rPr>
      <w:lang w:eastAsia="zh-CN" w:bidi="hi-IN"/>
      <w:sz w:val="20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43BCE-C316-4B51-8B02-721B51364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LibreOffice/6.4.7.2$Linux_X86_64 LibreOffice_project/40$Build-2</Application>
  <Pages>4</Pages>
  <Words>910</Words>
  <Characters>4200</Characters>
  <CharactersWithSpaces>5633</CharactersWithSpaces>
  <Paragraphs>260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2024-04-02T11:02:00Z</dcterms:created>
  <dc:creator>admin</dc:creator>
  <dc:description/>
  <dc:language>uk-UA</dc:language>
  <cp:lastModifiedBy/>
  <cp:lastPrinted>2024-01-01T12:21:00Z</cp:lastPrinted>
  <dcterms:modified xsi:type="dcterms:W3CDTF">2024-04-24T15:52:31Z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