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Layout w:type="fixed"/>
        <w:tblLook w:val="00A0"/>
      </w:tblPr>
      <w:tblGrid>
        <w:gridCol w:w="5400"/>
        <w:gridCol w:w="4320"/>
      </w:tblGrid>
      <w:tr w:rsidR="00F90F57" w:rsidTr="00C23C49">
        <w:trPr>
          <w:trHeight w:val="1268"/>
        </w:trPr>
        <w:tc>
          <w:tcPr>
            <w:tcW w:w="5400" w:type="dxa"/>
          </w:tcPr>
          <w:p w:rsidR="00F90F57" w:rsidRDefault="00F90F57">
            <w:pPr>
              <w:jc w:val="both"/>
              <w:rPr>
                <w:sz w:val="28"/>
                <w:szCs w:val="28"/>
              </w:rPr>
            </w:pPr>
          </w:p>
        </w:tc>
        <w:tc>
          <w:tcPr>
            <w:tcW w:w="4320" w:type="dxa"/>
          </w:tcPr>
          <w:p w:rsidR="00F90F57" w:rsidRDefault="00F90F57" w:rsidP="00C23C49">
            <w:pPr>
              <w:jc w:val="both"/>
              <w:rPr>
                <w:sz w:val="28"/>
                <w:szCs w:val="28"/>
              </w:rPr>
            </w:pPr>
            <w:r>
              <w:rPr>
                <w:spacing w:val="-1"/>
                <w:sz w:val="28"/>
                <w:szCs w:val="28"/>
              </w:rPr>
              <w:t>ЗАТВЕРДЖЕНО</w:t>
            </w:r>
          </w:p>
          <w:p w:rsidR="00F90F57" w:rsidRDefault="00F90F57" w:rsidP="00C23C49">
            <w:pPr>
              <w:pStyle w:val="Heading7"/>
              <w:rPr>
                <w:szCs w:val="28"/>
              </w:rPr>
            </w:pPr>
            <w:r>
              <w:rPr>
                <w:szCs w:val="28"/>
              </w:rPr>
              <w:t>Розпорядження голови районної державної адміністрації</w:t>
            </w:r>
            <w:r w:rsidRPr="00D94FAF">
              <w:rPr>
                <w:szCs w:val="28"/>
              </w:rPr>
              <w:t xml:space="preserve"> </w:t>
            </w:r>
            <w:r>
              <w:rPr>
                <w:szCs w:val="28"/>
              </w:rPr>
              <w:t>–</w:t>
            </w:r>
            <w:r w:rsidRPr="00D94FAF">
              <w:rPr>
                <w:szCs w:val="28"/>
              </w:rPr>
              <w:t xml:space="preserve"> </w:t>
            </w:r>
            <w:r>
              <w:rPr>
                <w:szCs w:val="28"/>
              </w:rPr>
              <w:t>начальника районної військової адміністрації</w:t>
            </w:r>
          </w:p>
          <w:p w:rsidR="00F90F57" w:rsidRPr="00C23C49" w:rsidRDefault="00F90F57" w:rsidP="00D94FAF">
            <w:pPr>
              <w:rPr>
                <w:sz w:val="28"/>
                <w:szCs w:val="28"/>
              </w:rPr>
            </w:pPr>
            <w:r w:rsidRPr="00C23C49">
              <w:rPr>
                <w:sz w:val="28"/>
                <w:szCs w:val="28"/>
              </w:rPr>
              <w:t>22.04.2026 № 30</w:t>
            </w:r>
          </w:p>
          <w:p w:rsidR="00F90F57" w:rsidRDefault="00F90F57" w:rsidP="00D94FAF">
            <w:pPr>
              <w:ind w:left="-110"/>
              <w:jc w:val="both"/>
              <w:rPr>
                <w:sz w:val="28"/>
                <w:szCs w:val="28"/>
              </w:rPr>
            </w:pPr>
            <w:r>
              <w:rPr>
                <w:sz w:val="28"/>
                <w:szCs w:val="28"/>
              </w:rPr>
              <w:t xml:space="preserve"> </w:t>
            </w:r>
          </w:p>
        </w:tc>
      </w:tr>
    </w:tbl>
    <w:p w:rsidR="00F90F57" w:rsidRDefault="00F90F57" w:rsidP="00C23C49">
      <w:pPr>
        <w:jc w:val="center"/>
        <w:rPr>
          <w:sz w:val="28"/>
          <w:szCs w:val="28"/>
        </w:rPr>
      </w:pPr>
      <w:r>
        <w:rPr>
          <w:sz w:val="28"/>
          <w:szCs w:val="28"/>
        </w:rPr>
        <w:t>РАЙОННА  ПРОГРАМА</w:t>
      </w:r>
    </w:p>
    <w:p w:rsidR="00F90F57" w:rsidRDefault="00F90F57" w:rsidP="00C23C49">
      <w:pPr>
        <w:jc w:val="center"/>
        <w:rPr>
          <w:sz w:val="28"/>
          <w:szCs w:val="28"/>
        </w:rPr>
      </w:pPr>
      <w:r>
        <w:rPr>
          <w:sz w:val="28"/>
          <w:szCs w:val="28"/>
        </w:rPr>
        <w:t xml:space="preserve">сімейної, гендерної політики, запобігання та протидії домашньому насильству, протидії торгівлі людьми на 2026-2030 роки </w:t>
      </w:r>
    </w:p>
    <w:p w:rsidR="00F90F57" w:rsidRDefault="00F90F57" w:rsidP="00B02C88">
      <w:pPr>
        <w:pStyle w:val="Heading1"/>
        <w:ind w:firstLine="0"/>
        <w:jc w:val="left"/>
        <w:rPr>
          <w:sz w:val="28"/>
          <w:szCs w:val="28"/>
        </w:rPr>
      </w:pPr>
    </w:p>
    <w:p w:rsidR="00F90F57" w:rsidRDefault="00F90F57" w:rsidP="00C23C49">
      <w:pPr>
        <w:pStyle w:val="Heading1"/>
        <w:numPr>
          <w:ilvl w:val="0"/>
          <w:numId w:val="1"/>
        </w:numPr>
        <w:ind w:left="0" w:firstLine="0"/>
        <w:rPr>
          <w:i w:val="0"/>
          <w:sz w:val="28"/>
          <w:szCs w:val="28"/>
        </w:rPr>
      </w:pPr>
      <w:r>
        <w:rPr>
          <w:i w:val="0"/>
          <w:sz w:val="28"/>
          <w:szCs w:val="28"/>
        </w:rPr>
        <w:t>Загальні положення</w:t>
      </w:r>
    </w:p>
    <w:p w:rsidR="00F90F57" w:rsidRDefault="00F90F57" w:rsidP="00B02C88"/>
    <w:p w:rsidR="00F90F57" w:rsidRDefault="00F90F57" w:rsidP="007A7DA8">
      <w:pPr>
        <w:ind w:firstLine="567"/>
        <w:jc w:val="both"/>
        <w:rPr>
          <w:sz w:val="28"/>
          <w:szCs w:val="28"/>
        </w:rPr>
      </w:pPr>
      <w:r>
        <w:rPr>
          <w:bCs/>
          <w:sz w:val="28"/>
          <w:szCs w:val="28"/>
        </w:rPr>
        <w:t>Районну програму сімейної, гендерної політики, запобігання та протидії домашньому насильству, протидії торгівлі людьми на 2026-2030 роки</w:t>
      </w:r>
      <w:r>
        <w:rPr>
          <w:sz w:val="28"/>
          <w:szCs w:val="28"/>
        </w:rPr>
        <w:t xml:space="preserve"> (далі – Програма) розроблено відповідно до статей 6, 17 і 39 Закону України „Про місцеві державні адміністрації”, </w:t>
      </w:r>
      <w:r>
        <w:rPr>
          <w:color w:val="000000"/>
          <w:sz w:val="28"/>
          <w:szCs w:val="28"/>
        </w:rPr>
        <w:t xml:space="preserve">статей 4 і 15 Закону України „Про правовий режим воєнного стану”, </w:t>
      </w:r>
      <w:r>
        <w:rPr>
          <w:sz w:val="28"/>
          <w:szCs w:val="28"/>
        </w:rPr>
        <w:t xml:space="preserve">законів України „Про запобігання та протидію домашньому насильству”, „Про протидію торгівлі людьми”, указів Президента України </w:t>
      </w:r>
      <w:r>
        <w:rPr>
          <w:color w:val="000000"/>
          <w:sz w:val="28"/>
          <w:szCs w:val="28"/>
        </w:rPr>
        <w:t xml:space="preserve">від 24 лютого 2022 року № 64/2022 „Про введення воєнного стану в Україні” (із змінами), № 68/2022 „Про утворення військових адміністрацій”, </w:t>
      </w:r>
      <w:r>
        <w:rPr>
          <w:sz w:val="28"/>
          <w:szCs w:val="28"/>
        </w:rPr>
        <w:t xml:space="preserve">від 26 липня 2005 року № 1135/2005 „Про вдосконалення роботи центральних і місцевих органів виконавчої влади щодо забезпечення рівних прав та можливостей жінок і чоловіків”, </w:t>
      </w:r>
      <w:r>
        <w:rPr>
          <w:sz w:val="28"/>
          <w:szCs w:val="28"/>
          <w:lang w:eastAsia="uk-UA"/>
        </w:rPr>
        <w:t xml:space="preserve">від 21 вересня 2020 року № 398/2020 </w:t>
      </w:r>
      <w:r>
        <w:rPr>
          <w:sz w:val="28"/>
          <w:szCs w:val="28"/>
        </w:rPr>
        <w:t>„</w:t>
      </w:r>
      <w:r>
        <w:rPr>
          <w:sz w:val="28"/>
          <w:szCs w:val="28"/>
          <w:lang w:eastAsia="uk-UA"/>
        </w:rPr>
        <w:t>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r>
        <w:rPr>
          <w:sz w:val="28"/>
          <w:szCs w:val="28"/>
        </w:rPr>
        <w:t xml:space="preserve">”, постанов Кабінету Міністрів України від 22 серпня 2018 р. № 654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ознакою статі” (із змінами), від   22 серпня 2018 р.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(із змінами), від 22 серпня 2018 р. № 655 „Про затвердження Типового положення про притулок для осіб, які постраждали від домашнього насильства та/або насильства за ознакою статі”, від 18 січня 2012 р. № 29 „Про національного координатора у сфері протидії торгівлі людьми”, від                                  23 травня 2012 р. № 417 „Про затвердження Порядку встановлення статусу особи, яка постраждала від торгівлі людьми”, від 25 липня 2012 р. № 660 „Про затвердження Порядку виплати одноразової матеріальної допомоги особам, які постраждали від торгівлі людьми”, від 22 серпня 2012 р. № 783 „Про затвердження Порядку взаємодії суб'єктів, які здійснюють заходи у сфері протидії торгівлі людьми” (із змінами), на виконання розпорядження голови  обласної державної адміністрації –начальника обласної військової адміністрації 03.12.2025 № 821 „Про Регіональну </w:t>
      </w:r>
      <w:r>
        <w:rPr>
          <w:bCs/>
          <w:iCs/>
          <w:sz w:val="28"/>
          <w:szCs w:val="28"/>
        </w:rPr>
        <w:t>програму сімейної, гендерної політики, запобігання та протидії домашньому насильству, протидії торгівлі людьми на 2026-2030 роки,</w:t>
      </w:r>
      <w:r>
        <w:t xml:space="preserve"> </w:t>
      </w:r>
      <w:r>
        <w:rPr>
          <w:sz w:val="28"/>
          <w:szCs w:val="28"/>
        </w:rPr>
        <w:t>з метою забезпечення реалізації державної сімейної, гендерної  політики, спрямованої на утвердження в суспільстві соціальної справедливості та гендерної рівності; підтримку сімей, забезпечення рівних прав та можливостей жінок і чоловіків, їх повновартісної участі у розбудові громадянського суспільства, запобігання, протидія такого негативного явища у суспільстві як насильство у всіх його проявах, зокрема, домашнє насильство та його подолання, запобігання торгівлі людьми і захисті прав осіб, які постраждали від торгівлі людьми, та надання їм допомоги.</w:t>
      </w:r>
    </w:p>
    <w:p w:rsidR="00F90F57" w:rsidRDefault="00F90F57" w:rsidP="00B02C88">
      <w:pPr>
        <w:ind w:firstLine="567"/>
        <w:jc w:val="both"/>
        <w:rPr>
          <w:sz w:val="28"/>
          <w:szCs w:val="28"/>
        </w:rPr>
      </w:pPr>
      <w:r>
        <w:rPr>
          <w:sz w:val="28"/>
          <w:szCs w:val="28"/>
        </w:rPr>
        <w:t>Паспорт Програми наведено у додатку 1 до Програми.</w:t>
      </w:r>
    </w:p>
    <w:p w:rsidR="00F90F57" w:rsidRDefault="00F90F57" w:rsidP="00B02C88">
      <w:pPr>
        <w:shd w:val="clear" w:color="auto" w:fill="FFFFFF"/>
        <w:rPr>
          <w:b/>
          <w:bCs/>
          <w:sz w:val="28"/>
          <w:szCs w:val="28"/>
        </w:rPr>
      </w:pPr>
    </w:p>
    <w:p w:rsidR="00F90F57" w:rsidRPr="00E72129" w:rsidRDefault="00F90F57" w:rsidP="00E72129">
      <w:pPr>
        <w:pStyle w:val="ListParagraph"/>
        <w:numPr>
          <w:ilvl w:val="0"/>
          <w:numId w:val="1"/>
        </w:numPr>
        <w:shd w:val="clear" w:color="auto" w:fill="FFFFFF"/>
        <w:jc w:val="center"/>
        <w:rPr>
          <w:b/>
          <w:bCs/>
          <w:iCs/>
          <w:sz w:val="28"/>
          <w:szCs w:val="28"/>
        </w:rPr>
      </w:pPr>
      <w:r w:rsidRPr="00E72129">
        <w:rPr>
          <w:b/>
          <w:bCs/>
          <w:iCs/>
          <w:sz w:val="28"/>
          <w:szCs w:val="28"/>
        </w:rPr>
        <w:t xml:space="preserve">Визначення проблемних питань, </w:t>
      </w:r>
    </w:p>
    <w:p w:rsidR="00F90F57" w:rsidRDefault="00F90F57" w:rsidP="00B02C88">
      <w:pPr>
        <w:shd w:val="clear" w:color="auto" w:fill="FFFFFF"/>
        <w:jc w:val="center"/>
        <w:rPr>
          <w:b/>
          <w:bCs/>
          <w:iCs/>
          <w:sz w:val="28"/>
          <w:szCs w:val="28"/>
        </w:rPr>
      </w:pPr>
      <w:r>
        <w:rPr>
          <w:b/>
          <w:bCs/>
          <w:iCs/>
          <w:sz w:val="28"/>
          <w:szCs w:val="28"/>
        </w:rPr>
        <w:t>на розв’язання яких спрямовано Програму</w:t>
      </w:r>
    </w:p>
    <w:p w:rsidR="00F90F57" w:rsidRDefault="00F90F57" w:rsidP="00B02C88">
      <w:pPr>
        <w:shd w:val="clear" w:color="auto" w:fill="FFFFFF"/>
        <w:jc w:val="center"/>
        <w:rPr>
          <w:b/>
          <w:bCs/>
          <w:i/>
          <w:iCs/>
          <w:sz w:val="28"/>
          <w:szCs w:val="28"/>
        </w:rPr>
      </w:pPr>
    </w:p>
    <w:p w:rsidR="00F90F57" w:rsidRDefault="00F90F57" w:rsidP="00B02C88">
      <w:pPr>
        <w:ind w:firstLine="567"/>
        <w:jc w:val="both"/>
        <w:rPr>
          <w:sz w:val="28"/>
          <w:szCs w:val="28"/>
        </w:rPr>
      </w:pPr>
      <w:r>
        <w:rPr>
          <w:sz w:val="28"/>
          <w:szCs w:val="28"/>
        </w:rPr>
        <w:t>Однією з найбільш гострих проблем як загалом в Україні, так і в Рахівському районі є домашнє насильство, як по відношенню до жінок та дітей, так і по відношенню до чоловіків. Так, в Рахівському районі за 2025 рік до територіального</w:t>
      </w:r>
      <w:r>
        <w:rPr>
          <w:b/>
          <w:sz w:val="28"/>
          <w:szCs w:val="28"/>
        </w:rPr>
        <w:t xml:space="preserve"> </w:t>
      </w:r>
      <w:r>
        <w:rPr>
          <w:sz w:val="28"/>
          <w:szCs w:val="28"/>
        </w:rPr>
        <w:t xml:space="preserve">підрозділу Головного управління Національної поліції в Закарпатській області надійшло 119 звернень та повідомлень про вчинення домашнього насильства. З яких підтверджено факти насильства стосовно 106-ох  жінок, 11-ох чоловіків та    2-ох дітей.    </w:t>
      </w:r>
    </w:p>
    <w:p w:rsidR="00F90F57" w:rsidRDefault="00F90F57" w:rsidP="00B02C88">
      <w:pPr>
        <w:ind w:firstLine="567"/>
        <w:jc w:val="both"/>
        <w:rPr>
          <w:sz w:val="28"/>
          <w:szCs w:val="28"/>
        </w:rPr>
      </w:pPr>
      <w:r>
        <w:rPr>
          <w:sz w:val="28"/>
          <w:szCs w:val="28"/>
        </w:rPr>
        <w:t>За результатами реагування працівниками поліції було складено 119 адміністративних протоколів передбачених ст. 173-2 КУпАП.</w:t>
      </w:r>
    </w:p>
    <w:p w:rsidR="00F90F57" w:rsidRDefault="00F90F57" w:rsidP="00B02C88">
      <w:pPr>
        <w:ind w:firstLine="567"/>
        <w:jc w:val="both"/>
        <w:rPr>
          <w:sz w:val="28"/>
          <w:szCs w:val="28"/>
        </w:rPr>
      </w:pPr>
      <w:r>
        <w:rPr>
          <w:sz w:val="28"/>
          <w:szCs w:val="28"/>
        </w:rPr>
        <w:t xml:space="preserve">Поряд з цим, під час реагування на повідомлення про вчинення домашнього насильства поліцейськими за кожним фактом проводиться оцінка ризиків, за результатами якої працівник поліції визначає рівень небезпеки, який ураховується під час винесення термінового заборонного припису стосовно кривдника. Так упродовж звітного періоду працівниками поліції було винесено 88 термінових заборонних приписів стосовно кривдників. </w:t>
      </w:r>
    </w:p>
    <w:p w:rsidR="00F90F57" w:rsidRDefault="00F90F57" w:rsidP="00B02C88">
      <w:pPr>
        <w:ind w:firstLine="567"/>
        <w:jc w:val="both"/>
        <w:rPr>
          <w:sz w:val="28"/>
          <w:szCs w:val="28"/>
        </w:rPr>
      </w:pPr>
      <w:r>
        <w:rPr>
          <w:sz w:val="28"/>
          <w:szCs w:val="28"/>
        </w:rPr>
        <w:t xml:space="preserve">Упродовж звітного періоду за результатами реагування на повідомлення про вчинення домашнього насильства працівниками поліції відкрито 113 адміністративних проваджень передбачених  ст. 173-2 КУпАП.  </w:t>
      </w:r>
    </w:p>
    <w:p w:rsidR="00F90F57" w:rsidRDefault="00F90F57" w:rsidP="00B02C88">
      <w:pPr>
        <w:ind w:firstLine="567"/>
        <w:jc w:val="both"/>
        <w:rPr>
          <w:sz w:val="28"/>
          <w:szCs w:val="28"/>
        </w:rPr>
      </w:pPr>
      <w:r>
        <w:rPr>
          <w:sz w:val="28"/>
          <w:szCs w:val="28"/>
        </w:rPr>
        <w:t xml:space="preserve">Уповноважений підрозділ органу поліції з моменту виявлення факту вчинення домашнього насильства бере особу кривдника на профілактичний облік та проводить з ним профілактичну роботу. </w:t>
      </w:r>
    </w:p>
    <w:p w:rsidR="00F90F57" w:rsidRDefault="00F90F57" w:rsidP="00B02C88">
      <w:pPr>
        <w:ind w:firstLine="567"/>
        <w:jc w:val="both"/>
        <w:rPr>
          <w:sz w:val="28"/>
          <w:szCs w:val="28"/>
        </w:rPr>
      </w:pPr>
      <w:r>
        <w:rPr>
          <w:sz w:val="28"/>
          <w:szCs w:val="28"/>
        </w:rPr>
        <w:t>Упродовж 2025 року працівниками поліції поставлено на профілактичний облік 105</w:t>
      </w:r>
      <w:r>
        <w:rPr>
          <w:b/>
          <w:sz w:val="28"/>
          <w:szCs w:val="28"/>
        </w:rPr>
        <w:t xml:space="preserve"> </w:t>
      </w:r>
      <w:r>
        <w:rPr>
          <w:sz w:val="28"/>
          <w:szCs w:val="28"/>
        </w:rPr>
        <w:t xml:space="preserve">осіб, які вчинили домашнє насильство, з них 8 жінок та 97 чоловіків. </w:t>
      </w:r>
    </w:p>
    <w:p w:rsidR="00F90F57" w:rsidRDefault="00F90F57" w:rsidP="00B02C88">
      <w:pPr>
        <w:ind w:firstLine="567"/>
        <w:jc w:val="both"/>
        <w:rPr>
          <w:sz w:val="28"/>
          <w:szCs w:val="28"/>
        </w:rPr>
      </w:pPr>
      <w:r>
        <w:rPr>
          <w:sz w:val="28"/>
          <w:szCs w:val="28"/>
        </w:rPr>
        <w:t>Домашнє насильство негативно впливає на здоров’я постраждалих, зокрема на репродуктивне, що призводить до зниження рівня народжуваності та збільшення народження дітей з вадами здоров’я. Постраждалі особи не можуть належним чином виконувати свої професійні обов’язки. Відсутня правова обізнаність громадян щодо проявів гендерної дискримінації в різних сферах, система реагування на факти дискримінації за ознакою статі. Актуальною  проблемою   та   суттєвою загрозою для мешканців є і торгівля людьми.</w:t>
      </w:r>
    </w:p>
    <w:p w:rsidR="00F90F57" w:rsidRDefault="00F90F57" w:rsidP="007A7DA8">
      <w:pPr>
        <w:ind w:firstLine="567"/>
        <w:jc w:val="both"/>
        <w:rPr>
          <w:sz w:val="28"/>
          <w:szCs w:val="28"/>
        </w:rPr>
      </w:pPr>
      <w:r>
        <w:rPr>
          <w:sz w:val="28"/>
          <w:szCs w:val="28"/>
        </w:rPr>
        <w:t xml:space="preserve">Ефективна державна політика у сфері запобігання та протидії домашньому насильству і насильству за ознакою статі, попередження торгівлі людьми, забезпечення гендерної рівності є одним з найважливіших інструментів розвитку району, зростання добробуту її громадян та вдосконалення суспільних відносин. </w:t>
      </w:r>
      <w:r>
        <w:rPr>
          <w:bCs/>
          <w:sz w:val="28"/>
          <w:szCs w:val="28"/>
        </w:rPr>
        <w:t xml:space="preserve">Районна   програма   сімейної,   гендерної   політики,   запобігання   та   протидії домашньому насильству, та протидії торгівлі людьми на 2026-2030 роки </w:t>
      </w:r>
      <w:r>
        <w:rPr>
          <w:sz w:val="28"/>
          <w:szCs w:val="28"/>
        </w:rPr>
        <w:t xml:space="preserve">– це комплекс заходів, спрямованих на створення ефективного механізму партнерства та взаємодії між органами виконавчої влади та громадськими організаціями, вдосконалення механізму взаємодії суб’єктів, які реалізують заходи щодо запобігання та протидії домашньому насильству, забезпечення рівних прав та можливостей жінок і чоловіків, посилення координації роботи з виявлення та ідентифікації осіб, які постраждали від торгівлі людьми. </w:t>
      </w:r>
    </w:p>
    <w:p w:rsidR="00F90F57" w:rsidRDefault="00F90F57" w:rsidP="00B02C88">
      <w:pPr>
        <w:ind w:firstLine="851"/>
        <w:jc w:val="both"/>
        <w:rPr>
          <w:sz w:val="28"/>
          <w:szCs w:val="28"/>
        </w:rPr>
      </w:pPr>
    </w:p>
    <w:p w:rsidR="00F90F57" w:rsidRDefault="00F90F57" w:rsidP="00B02C88">
      <w:pPr>
        <w:ind w:firstLine="851"/>
        <w:jc w:val="center"/>
        <w:rPr>
          <w:b/>
          <w:sz w:val="28"/>
          <w:szCs w:val="28"/>
        </w:rPr>
      </w:pPr>
      <w:r>
        <w:rPr>
          <w:b/>
          <w:sz w:val="28"/>
          <w:szCs w:val="28"/>
        </w:rPr>
        <w:t>3. Визначення мети Програми</w:t>
      </w:r>
    </w:p>
    <w:p w:rsidR="00F90F57" w:rsidRDefault="00F90F57" w:rsidP="00B02C88">
      <w:pPr>
        <w:ind w:firstLine="851"/>
        <w:jc w:val="center"/>
        <w:rPr>
          <w:b/>
          <w:i/>
          <w:sz w:val="28"/>
          <w:szCs w:val="28"/>
        </w:rPr>
      </w:pPr>
    </w:p>
    <w:p w:rsidR="00F90F57" w:rsidRDefault="00F90F57" w:rsidP="00B02C88">
      <w:pPr>
        <w:ind w:firstLine="567"/>
        <w:jc w:val="both"/>
        <w:rPr>
          <w:sz w:val="28"/>
          <w:szCs w:val="28"/>
        </w:rPr>
      </w:pPr>
      <w:r>
        <w:rPr>
          <w:sz w:val="28"/>
          <w:szCs w:val="28"/>
        </w:rPr>
        <w:t>Метою Програми є реалізація державної сімейної, гендерної політики, спрямованої на утвердження в суспільстві соціальної справедливості та гендерної рівності; підтримку сімей, забезпечення рівних прав та можливостей жінок і чоловіків, їх повновартісної участі у розбудові громадянського суспільства, запобігання, протидія такого негативного явища у суспільстві як насильство у всіх його проявах, зокрема, домашнє насильство та його подолання, запобігання торгівлі людьми і захисті прав осіб, які постраждали від торгівлі людьми, та надання їм допомоги.</w:t>
      </w:r>
    </w:p>
    <w:p w:rsidR="00F90F57" w:rsidRDefault="00F90F57" w:rsidP="00B02C88">
      <w:pPr>
        <w:pStyle w:val="Heading1"/>
        <w:rPr>
          <w:sz w:val="28"/>
          <w:szCs w:val="28"/>
        </w:rPr>
      </w:pPr>
    </w:p>
    <w:p w:rsidR="00F90F57" w:rsidRDefault="00F90F57" w:rsidP="00B02C88">
      <w:pPr>
        <w:shd w:val="clear" w:color="auto" w:fill="FFFFFF"/>
        <w:ind w:left="57" w:right="57"/>
        <w:jc w:val="center"/>
        <w:rPr>
          <w:b/>
          <w:sz w:val="28"/>
          <w:szCs w:val="28"/>
        </w:rPr>
      </w:pPr>
      <w:r>
        <w:rPr>
          <w:b/>
          <w:sz w:val="28"/>
          <w:szCs w:val="28"/>
        </w:rPr>
        <w:t>4. Обґрунтування шляхів і засобів розв’язання проблем</w:t>
      </w:r>
    </w:p>
    <w:p w:rsidR="00F90F57" w:rsidRDefault="00F90F57" w:rsidP="00B02C88">
      <w:pPr>
        <w:shd w:val="clear" w:color="auto" w:fill="FFFFFF"/>
        <w:ind w:left="57" w:right="57"/>
        <w:jc w:val="center"/>
        <w:rPr>
          <w:b/>
          <w:i/>
          <w:sz w:val="28"/>
          <w:szCs w:val="28"/>
        </w:rPr>
      </w:pPr>
    </w:p>
    <w:p w:rsidR="00F90F57" w:rsidRDefault="00F90F57" w:rsidP="00B02C88">
      <w:pPr>
        <w:shd w:val="clear" w:color="auto" w:fill="FFFFFF"/>
        <w:ind w:right="57" w:firstLine="567"/>
        <w:jc w:val="both"/>
        <w:rPr>
          <w:sz w:val="28"/>
          <w:szCs w:val="28"/>
        </w:rPr>
      </w:pPr>
      <w:r>
        <w:rPr>
          <w:sz w:val="28"/>
          <w:szCs w:val="28"/>
        </w:rPr>
        <w:t>Підтримка родин, у тому числі сімей, які опинилися у складних життєвих обставинах, вирішення питань запобігання та протидії домашньому насильству і насильству за ознакою статі, забезпечення гендерної рівності та попередження торгівлі людьми визначить стратегічні пріоритети розвитку сімейної, гендерної політики та протидії торгівлі людьми в Рахівському районі, започатковує організаційні шляхи її реалізації та обґрунтовує ресурсні потреби. Реалізація Програми дозволить запровадити ефективний механізм партнерства та взаємодії між органами виконавчої влади та громадськими організаціями, вдосконалення механізму запобігання та протидії домашньому насильству, підвищення рівня інформованості населення щодо форм і проявів домашнього насильства, його причин і наслідків та необхідні дії осіб; ефективне реагування на факти домашнього насильства через впровадження механізму взаємодії суб’єктів, які реалізують заходи щодо запобігання та протидії домашньому насильству; надання допомоги та захисту особам, постраждалим від домашнього насильства та насильства за ознакою статі, притягнення кривдників до передбаченої законом відповідальності та корекція їхньої поведінки. Реалізація Програми також передбачає залучення представників громадськості до участі у реалізації прав і задоволенні потреб різних верств населення.</w:t>
      </w:r>
    </w:p>
    <w:p w:rsidR="00F90F57" w:rsidRDefault="00F90F57" w:rsidP="00B02C88">
      <w:pPr>
        <w:shd w:val="clear" w:color="auto" w:fill="FFFFFF"/>
        <w:ind w:firstLine="567"/>
        <w:jc w:val="both"/>
        <w:rPr>
          <w:sz w:val="28"/>
          <w:szCs w:val="28"/>
        </w:rPr>
      </w:pPr>
      <w:r>
        <w:rPr>
          <w:sz w:val="28"/>
          <w:szCs w:val="28"/>
        </w:rPr>
        <w:t>Перелік напрямів діяльності та заходів з реалізації Програми наведено у додатку 2 до Програми.</w:t>
      </w:r>
    </w:p>
    <w:p w:rsidR="00F90F57" w:rsidRDefault="00F90F57" w:rsidP="00B02C88">
      <w:pPr>
        <w:shd w:val="clear" w:color="auto" w:fill="FFFFFF"/>
        <w:jc w:val="both"/>
        <w:rPr>
          <w:sz w:val="28"/>
          <w:szCs w:val="28"/>
        </w:rPr>
      </w:pPr>
    </w:p>
    <w:p w:rsidR="00F90F57" w:rsidRDefault="00F90F57" w:rsidP="00B02C88">
      <w:pPr>
        <w:pStyle w:val="Heading1"/>
        <w:rPr>
          <w:i w:val="0"/>
          <w:sz w:val="28"/>
          <w:szCs w:val="28"/>
        </w:rPr>
      </w:pPr>
      <w:r>
        <w:rPr>
          <w:i w:val="0"/>
          <w:sz w:val="28"/>
          <w:szCs w:val="28"/>
        </w:rPr>
        <w:t>5. Фінансове забезпечення Програми</w:t>
      </w:r>
    </w:p>
    <w:p w:rsidR="00F90F57" w:rsidRDefault="00F90F57" w:rsidP="00B02C88"/>
    <w:p w:rsidR="00F90F57" w:rsidRPr="00464A53" w:rsidRDefault="00F90F57" w:rsidP="00B02C88">
      <w:pPr>
        <w:ind w:firstLine="567"/>
        <w:jc w:val="both"/>
        <w:rPr>
          <w:sz w:val="28"/>
          <w:szCs w:val="28"/>
        </w:rPr>
      </w:pPr>
      <w:r w:rsidRPr="00464A53">
        <w:rPr>
          <w:sz w:val="28"/>
          <w:szCs w:val="28"/>
        </w:rPr>
        <w:t>У межах бюджетних призначень, визначених рішеннями про місцеві бюджети.</w:t>
      </w:r>
    </w:p>
    <w:p w:rsidR="00F90F57" w:rsidRDefault="00F90F57" w:rsidP="00B02C88">
      <w:pPr>
        <w:shd w:val="clear" w:color="auto" w:fill="FFFFFF"/>
        <w:jc w:val="center"/>
        <w:rPr>
          <w:b/>
          <w:bCs/>
          <w:sz w:val="28"/>
          <w:szCs w:val="28"/>
        </w:rPr>
      </w:pPr>
    </w:p>
    <w:p w:rsidR="00F90F57" w:rsidRDefault="00F90F57" w:rsidP="00B02C88">
      <w:pPr>
        <w:shd w:val="clear" w:color="auto" w:fill="FFFFFF"/>
        <w:jc w:val="center"/>
        <w:rPr>
          <w:b/>
          <w:bCs/>
          <w:sz w:val="28"/>
          <w:szCs w:val="28"/>
        </w:rPr>
      </w:pPr>
      <w:r>
        <w:rPr>
          <w:b/>
          <w:bCs/>
          <w:sz w:val="28"/>
          <w:szCs w:val="28"/>
        </w:rPr>
        <w:t>6. Очікувані результати виконання Програми,</w:t>
      </w:r>
    </w:p>
    <w:p w:rsidR="00F90F57" w:rsidRDefault="00F90F57" w:rsidP="00B02C88">
      <w:pPr>
        <w:shd w:val="clear" w:color="auto" w:fill="FFFFFF"/>
        <w:jc w:val="center"/>
        <w:rPr>
          <w:b/>
          <w:bCs/>
          <w:i/>
          <w:sz w:val="28"/>
          <w:szCs w:val="28"/>
        </w:rPr>
      </w:pPr>
      <w:r>
        <w:rPr>
          <w:b/>
          <w:bCs/>
          <w:sz w:val="28"/>
          <w:szCs w:val="28"/>
        </w:rPr>
        <w:t>визначення її ефективності</w:t>
      </w:r>
    </w:p>
    <w:p w:rsidR="00F90F57" w:rsidRDefault="00F90F57" w:rsidP="00B02C88">
      <w:pPr>
        <w:shd w:val="clear" w:color="auto" w:fill="FFFFFF"/>
        <w:jc w:val="center"/>
        <w:rPr>
          <w:b/>
          <w:bCs/>
          <w:i/>
          <w:sz w:val="28"/>
          <w:szCs w:val="28"/>
        </w:rPr>
      </w:pPr>
    </w:p>
    <w:p w:rsidR="00F90F57" w:rsidRDefault="00F90F57" w:rsidP="00B10E0F">
      <w:pPr>
        <w:pStyle w:val="BodyTextIndent2"/>
        <w:spacing w:line="240" w:lineRule="auto"/>
        <w:ind w:firstLine="567"/>
      </w:pPr>
      <w:r>
        <w:t>Виконання заходів Програми забезпечить:</w:t>
      </w:r>
    </w:p>
    <w:p w:rsidR="00F90F57" w:rsidRDefault="00F90F57" w:rsidP="00B10E0F">
      <w:pPr>
        <w:pStyle w:val="BodyTextIndent2"/>
        <w:spacing w:line="240" w:lineRule="auto"/>
        <w:ind w:firstLine="567"/>
      </w:pPr>
      <w:r>
        <w:t xml:space="preserve">підвищення рівня обізнаності населення у сфері запобігання та протидії домашньому насильству, руйнації негативних стереотипів та формування нетерпимого ставлення до насильницької моделі сімейних відносин; </w:t>
      </w:r>
    </w:p>
    <w:p w:rsidR="00F90F57" w:rsidRDefault="00F90F57" w:rsidP="00B10E0F">
      <w:pPr>
        <w:pStyle w:val="BodyTextIndent2"/>
        <w:spacing w:line="240" w:lineRule="auto"/>
        <w:ind w:firstLine="567"/>
      </w:pPr>
      <w:r>
        <w:t xml:space="preserve">підвищення рівня професійної компетенції працівників державних органів щодо запобігання та протидії домашньому насильству; </w:t>
      </w:r>
    </w:p>
    <w:p w:rsidR="00F90F57" w:rsidRDefault="00F90F57" w:rsidP="00B10E0F">
      <w:pPr>
        <w:pStyle w:val="BodyTextIndent2"/>
        <w:spacing w:line="240" w:lineRule="auto"/>
        <w:ind w:firstLine="567"/>
      </w:pPr>
      <w:r>
        <w:t xml:space="preserve"> створення дієвих механізмів допомоги та захисту осіб, які постраждали від домашнього насильства; </w:t>
      </w:r>
    </w:p>
    <w:p w:rsidR="00F90F57" w:rsidRDefault="00F90F57" w:rsidP="00B10E0F">
      <w:pPr>
        <w:pStyle w:val="BodyTextIndent2"/>
        <w:spacing w:line="240" w:lineRule="auto"/>
        <w:ind w:firstLine="567"/>
      </w:pPr>
      <w:r>
        <w:t>посилення відповідальності суб’єктів взаємодії, що здійснюють заходи у сфері запобігання та протидії домашньому насильству;</w:t>
      </w:r>
    </w:p>
    <w:p w:rsidR="00F90F57" w:rsidRDefault="00F90F57" w:rsidP="00B10E0F">
      <w:pPr>
        <w:pStyle w:val="BodyTextIndent2"/>
        <w:spacing w:line="240" w:lineRule="auto"/>
        <w:ind w:firstLine="567"/>
      </w:pPr>
      <w:r>
        <w:t>надання вчасної допомоги особам, потерпілим від домашнього насильства шляхом повноцінного функціонування спеціалізованих служб підтримки;</w:t>
      </w:r>
    </w:p>
    <w:p w:rsidR="00F90F57" w:rsidRDefault="00F90F57" w:rsidP="00B10E0F">
      <w:pPr>
        <w:pStyle w:val="BodyTextIndent2"/>
        <w:spacing w:line="240" w:lineRule="auto"/>
        <w:ind w:firstLine="567"/>
      </w:pPr>
      <w:r>
        <w:t>усунення негативних явищ у сім’ях, які опинилися у складних життєвих обставинах;</w:t>
      </w:r>
    </w:p>
    <w:p w:rsidR="00F90F57" w:rsidRDefault="00F90F57" w:rsidP="00B10E0F">
      <w:pPr>
        <w:pStyle w:val="BodyTextIndent2"/>
        <w:spacing w:line="240" w:lineRule="auto"/>
        <w:ind w:firstLine="567"/>
      </w:pPr>
      <w:r>
        <w:t>організацію роботи з особами, які вчинили домашнє насильство;</w:t>
      </w:r>
    </w:p>
    <w:p w:rsidR="00F90F57" w:rsidRDefault="00F90F57" w:rsidP="00B10E0F">
      <w:pPr>
        <w:pStyle w:val="BodyTextIndent2"/>
        <w:spacing w:line="240" w:lineRule="auto"/>
        <w:ind w:firstLine="567"/>
      </w:pPr>
      <w:r>
        <w:t>зменшення кількості злочинів, пов’язаних з домашнім насильством;</w:t>
      </w:r>
    </w:p>
    <w:p w:rsidR="00F90F57" w:rsidRDefault="00F90F57" w:rsidP="00B10E0F">
      <w:pPr>
        <w:pStyle w:val="BodyTextIndent2"/>
        <w:spacing w:line="240" w:lineRule="auto"/>
        <w:ind w:firstLine="567"/>
      </w:pPr>
      <w:r>
        <w:t>підвищення іміджу сім’ї;</w:t>
      </w:r>
    </w:p>
    <w:p w:rsidR="00F90F57" w:rsidRDefault="00F90F57" w:rsidP="00B10E0F">
      <w:pPr>
        <w:pStyle w:val="BodyTextIndent2"/>
        <w:spacing w:line="240" w:lineRule="auto"/>
        <w:ind w:firstLine="567"/>
      </w:pPr>
      <w:r>
        <w:t>участь жінок і чоловіків у всіх сферах життєдіяльності суспільства;</w:t>
      </w:r>
    </w:p>
    <w:p w:rsidR="00F90F57" w:rsidRDefault="00F90F57" w:rsidP="00B10E0F">
      <w:pPr>
        <w:pStyle w:val="BodyTextIndent2"/>
        <w:spacing w:line="240" w:lineRule="auto"/>
        <w:ind w:firstLine="567"/>
      </w:pPr>
      <w:r>
        <w:t>попередження та протидію дискримінації за ознакою статі у всіх сферах суспільного життя;</w:t>
      </w:r>
    </w:p>
    <w:p w:rsidR="00F90F57" w:rsidRDefault="00F90F57" w:rsidP="00B10E0F">
      <w:pPr>
        <w:pStyle w:val="BodyTextIndent2"/>
        <w:spacing w:line="240" w:lineRule="auto"/>
        <w:ind w:firstLine="567"/>
      </w:pPr>
      <w:r>
        <w:t>забезпечення рівних прав і можливостей жінок та чоловіків;</w:t>
      </w:r>
    </w:p>
    <w:p w:rsidR="00F90F57" w:rsidRDefault="00F90F57" w:rsidP="00B10E0F">
      <w:pPr>
        <w:pStyle w:val="BodyTextIndent2"/>
        <w:spacing w:line="240" w:lineRule="auto"/>
        <w:ind w:firstLine="567"/>
        <w:rPr>
          <w:shd w:val="clear" w:color="auto" w:fill="FFFFFF"/>
        </w:rPr>
      </w:pPr>
      <w:r>
        <w:rPr>
          <w:shd w:val="clear" w:color="auto" w:fill="FFFFFF"/>
        </w:rPr>
        <w:t>участь жінок у миротворчих процесах;</w:t>
      </w:r>
    </w:p>
    <w:p w:rsidR="00F90F57" w:rsidRDefault="00F90F57" w:rsidP="00B10E0F">
      <w:pPr>
        <w:pStyle w:val="BodyTextIndent2"/>
        <w:spacing w:line="240" w:lineRule="auto"/>
        <w:ind w:firstLine="567"/>
        <w:rPr>
          <w:shd w:val="clear" w:color="auto" w:fill="FFFFFF"/>
        </w:rPr>
      </w:pPr>
      <w:r>
        <w:rPr>
          <w:shd w:val="clear" w:color="auto" w:fill="FFFFFF"/>
        </w:rPr>
        <w:t>забезпечення захисту жінок та дівчат, які постраждали внаслідок конфлікту</w:t>
      </w:r>
      <w:r>
        <w:t>;</w:t>
      </w:r>
    </w:p>
    <w:p w:rsidR="00F90F57" w:rsidRDefault="00F90F57" w:rsidP="00B10E0F">
      <w:pPr>
        <w:pStyle w:val="BodyTextIndent2"/>
        <w:spacing w:line="240" w:lineRule="auto"/>
        <w:ind w:firstLine="567"/>
      </w:pPr>
      <w:r>
        <w:rPr>
          <w:shd w:val="clear" w:color="auto" w:fill="FFFFFF"/>
        </w:rPr>
        <w:t>зменшення гендерно - зумовленого насильства</w:t>
      </w:r>
      <w:r>
        <w:t>;</w:t>
      </w:r>
    </w:p>
    <w:p w:rsidR="00F90F57" w:rsidRDefault="00F90F57" w:rsidP="00B65CB8">
      <w:pPr>
        <w:pStyle w:val="BodyTextIndent2"/>
        <w:spacing w:line="240" w:lineRule="auto"/>
        <w:ind w:firstLine="567"/>
      </w:pPr>
      <w:r>
        <w:t>подоланий або зменшений вплив г</w:t>
      </w:r>
      <w:bookmarkStart w:id="0" w:name="_GoBack"/>
      <w:bookmarkEnd w:id="0"/>
      <w:r>
        <w:t>ендерних стереотипів на життя жінок та чоловіків;</w:t>
      </w:r>
    </w:p>
    <w:p w:rsidR="00F90F57" w:rsidRDefault="00F90F57" w:rsidP="00B65CB8">
      <w:pPr>
        <w:pStyle w:val="BodyTextIndent2"/>
        <w:spacing w:line="240" w:lineRule="auto"/>
        <w:ind w:firstLine="567"/>
      </w:pPr>
      <w:r>
        <w:t>представництво та лідерство жінок на місцевому рівні;</w:t>
      </w:r>
    </w:p>
    <w:p w:rsidR="00F90F57" w:rsidRDefault="00F90F57" w:rsidP="00B65CB8">
      <w:pPr>
        <w:pStyle w:val="BodyTextIndent2"/>
        <w:spacing w:line="240" w:lineRule="auto"/>
        <w:ind w:firstLine="567"/>
      </w:pPr>
      <w:r>
        <w:t>формування гідних робочих умов для чоловіків і жінок, враховуючи нерівний розподіл побутових обов</w:t>
      </w:r>
      <w:r w:rsidRPr="00B65CB8">
        <w:t>’</w:t>
      </w:r>
      <w:r>
        <w:t>язків по догляду за дітьми;</w:t>
      </w:r>
    </w:p>
    <w:p w:rsidR="00F90F57" w:rsidRDefault="00F90F57" w:rsidP="00B65CB8">
      <w:pPr>
        <w:pStyle w:val="BodyTextIndent2"/>
        <w:spacing w:line="240" w:lineRule="auto"/>
        <w:ind w:firstLine="567"/>
      </w:pPr>
      <w:r>
        <w:t>викорінення дискримінаційної культури, установок і стереотипів у робочій сфері, а також впровадженню гендерних норм у робочих стандартах;</w:t>
      </w:r>
    </w:p>
    <w:p w:rsidR="00F90F57" w:rsidRDefault="00F90F57" w:rsidP="00B65CB8">
      <w:pPr>
        <w:pStyle w:val="BodyTextIndent2"/>
        <w:spacing w:line="240" w:lineRule="auto"/>
        <w:ind w:firstLine="567"/>
      </w:pPr>
      <w:r>
        <w:t>розширення економічних прав і можливостей жінок;</w:t>
      </w:r>
    </w:p>
    <w:p w:rsidR="00F90F57" w:rsidRPr="00B65CB8" w:rsidRDefault="00F90F57" w:rsidP="00B65CB8">
      <w:pPr>
        <w:pStyle w:val="BodyTextIndent2"/>
        <w:spacing w:line="240" w:lineRule="auto"/>
        <w:ind w:firstLine="567"/>
        <w:rPr>
          <w:color w:val="000000"/>
        </w:rPr>
      </w:pPr>
      <w:r>
        <w:t>змога обстоювати свої права й звертатися до відповідних органів  щодо відшкодування завданої шкоди, зокрема у випадках дискримінації чи гендерно -обумовленого насильства;</w:t>
      </w:r>
    </w:p>
    <w:p w:rsidR="00F90F57" w:rsidRPr="00B10E0F" w:rsidRDefault="00F90F57" w:rsidP="00B10E0F">
      <w:pPr>
        <w:pStyle w:val="BodyTextIndent2"/>
        <w:spacing w:line="240" w:lineRule="auto"/>
        <w:ind w:firstLine="567"/>
        <w:rPr>
          <w:color w:val="000000"/>
        </w:rPr>
      </w:pPr>
      <w:r>
        <w:rPr>
          <w:color w:val="000000"/>
        </w:rPr>
        <w:t>п</w:t>
      </w:r>
      <w:r w:rsidRPr="00B10E0F">
        <w:rPr>
          <w:color w:val="000000"/>
        </w:rPr>
        <w:t>оліпшення взаємодії з неурядовими організаціями, результативності їх роботи.</w:t>
      </w:r>
    </w:p>
    <w:p w:rsidR="00F90F57" w:rsidRDefault="00F90F57" w:rsidP="00B10E0F">
      <w:pPr>
        <w:pStyle w:val="BodyTextIndent2"/>
        <w:spacing w:line="240" w:lineRule="auto"/>
        <w:ind w:firstLine="567"/>
      </w:pPr>
      <w:r>
        <w:t xml:space="preserve">підвищення рівня роботи у сфері протидії торгівлі людьми; </w:t>
      </w:r>
    </w:p>
    <w:p w:rsidR="00F90F57" w:rsidRDefault="00F90F57" w:rsidP="00B10E0F">
      <w:pPr>
        <w:pStyle w:val="BodyTextIndent2"/>
        <w:spacing w:line="240" w:lineRule="auto"/>
        <w:ind w:firstLine="567"/>
      </w:pPr>
      <w:r>
        <w:t xml:space="preserve">запобігання торгівлі людьми, її первинна профілактика; </w:t>
      </w:r>
    </w:p>
    <w:p w:rsidR="00F90F57" w:rsidRDefault="00F90F57" w:rsidP="00B10E0F">
      <w:pPr>
        <w:pStyle w:val="BodyTextIndent2"/>
        <w:spacing w:line="240" w:lineRule="auto"/>
        <w:ind w:firstLine="567"/>
      </w:pPr>
      <w:r>
        <w:t>захист та допомога постраждалим від торгівлі людьми.</w:t>
      </w:r>
    </w:p>
    <w:p w:rsidR="00F90F57" w:rsidRDefault="00F90F57" w:rsidP="00B02C88">
      <w:pPr>
        <w:ind w:firstLine="567"/>
        <w:rPr>
          <w:sz w:val="28"/>
          <w:szCs w:val="28"/>
        </w:rPr>
      </w:pPr>
    </w:p>
    <w:p w:rsidR="00F90F57" w:rsidRDefault="00F90F57" w:rsidP="00B02C88">
      <w:pPr>
        <w:shd w:val="clear" w:color="auto" w:fill="FFFFFF"/>
        <w:jc w:val="center"/>
        <w:rPr>
          <w:b/>
          <w:bCs/>
          <w:sz w:val="28"/>
          <w:szCs w:val="28"/>
        </w:rPr>
      </w:pPr>
      <w:r>
        <w:rPr>
          <w:b/>
          <w:bCs/>
          <w:sz w:val="28"/>
          <w:szCs w:val="28"/>
        </w:rPr>
        <w:t>7. Координація та контроль за ходом виконання Програми</w:t>
      </w:r>
    </w:p>
    <w:p w:rsidR="00F90F57" w:rsidRDefault="00F90F57" w:rsidP="00B02C88">
      <w:pPr>
        <w:shd w:val="clear" w:color="auto" w:fill="FFFFFF"/>
        <w:ind w:firstLine="567"/>
        <w:jc w:val="both"/>
        <w:rPr>
          <w:sz w:val="28"/>
          <w:szCs w:val="28"/>
        </w:rPr>
      </w:pPr>
      <w:r>
        <w:rPr>
          <w:sz w:val="28"/>
          <w:szCs w:val="28"/>
        </w:rPr>
        <w:t>Координація та контроль за ходом виконання Програми покладається на управління соціального захисту населення та надання соціальних послуг районної державної адміністрації – районної військової адміністрації.</w:t>
      </w:r>
    </w:p>
    <w:p w:rsidR="00F90F57" w:rsidRDefault="00F90F57" w:rsidP="00B02C88">
      <w:pPr>
        <w:shd w:val="clear" w:color="auto" w:fill="FFFFFF"/>
        <w:ind w:firstLine="567"/>
        <w:jc w:val="both"/>
        <w:rPr>
          <w:sz w:val="28"/>
          <w:szCs w:val="28"/>
        </w:rPr>
      </w:pPr>
      <w:r>
        <w:rPr>
          <w:sz w:val="28"/>
          <w:szCs w:val="28"/>
        </w:rPr>
        <w:t>Управління соціального захисту населення та надання соціальних послуг  районної державної адміністрації – районної військової адміністрації  систематично здійснює обґрунтовану оцінку результатів виконання Програми та, у разі потреби, розробляє пропозиції щодо доцільності продовження, внесення додаткових заходів, завдань, обсягів і джерел фінансування, переліку виконавців, строків виконання Програми тощо.</w:t>
      </w:r>
    </w:p>
    <w:p w:rsidR="00F90F57" w:rsidRDefault="00F90F57" w:rsidP="00B97F6B">
      <w:pPr>
        <w:shd w:val="clear" w:color="auto" w:fill="FFFFFF"/>
        <w:ind w:firstLine="567"/>
        <w:jc w:val="both"/>
        <w:rPr>
          <w:sz w:val="28"/>
          <w:szCs w:val="28"/>
        </w:rPr>
      </w:pPr>
      <w:r>
        <w:rPr>
          <w:sz w:val="28"/>
          <w:szCs w:val="28"/>
        </w:rPr>
        <w:t>Управління соціального захисту населення та надання соціальних послуг  районної державної адміністрації – районної військової адміністрації  щопівроку звітує департаменту соціального захисту населення  обласної державної адміністрації – обласної військової адміністрації про хід виконання Програми.</w:t>
      </w:r>
    </w:p>
    <w:p w:rsidR="00F90F57" w:rsidRDefault="00F90F57" w:rsidP="00634910">
      <w:pPr>
        <w:shd w:val="clear" w:color="auto" w:fill="FFFFFF"/>
        <w:ind w:firstLine="708"/>
        <w:jc w:val="center"/>
        <w:rPr>
          <w:sz w:val="28"/>
          <w:szCs w:val="28"/>
        </w:rPr>
      </w:pPr>
      <w:r>
        <w:rPr>
          <w:sz w:val="28"/>
          <w:szCs w:val="28"/>
        </w:rPr>
        <w:t>____________________________________________</w:t>
      </w: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B02C88">
      <w:pPr>
        <w:jc w:val="right"/>
        <w:rPr>
          <w:sz w:val="28"/>
          <w:szCs w:val="28"/>
        </w:rPr>
      </w:pPr>
    </w:p>
    <w:p w:rsidR="00F90F57" w:rsidRDefault="00F90F57" w:rsidP="006C0B77">
      <w:pPr>
        <w:ind w:firstLine="709"/>
        <w:jc w:val="both"/>
      </w:pPr>
    </w:p>
    <w:sectPr w:rsidR="00F90F57" w:rsidSect="00C23C49">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F57" w:rsidRDefault="00F90F57" w:rsidP="00E65279">
      <w:r>
        <w:separator/>
      </w:r>
    </w:p>
  </w:endnote>
  <w:endnote w:type="continuationSeparator" w:id="0">
    <w:p w:rsidR="00F90F57" w:rsidRDefault="00F90F57" w:rsidP="00E65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57" w:rsidRDefault="00F90F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57" w:rsidRDefault="00F90F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57" w:rsidRDefault="00F90F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F57" w:rsidRDefault="00F90F57" w:rsidP="00E65279">
      <w:r>
        <w:separator/>
      </w:r>
    </w:p>
  </w:footnote>
  <w:footnote w:type="continuationSeparator" w:id="0">
    <w:p w:rsidR="00F90F57" w:rsidRDefault="00F90F57" w:rsidP="00E652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57" w:rsidRDefault="00F90F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57" w:rsidRDefault="00F90F57" w:rsidP="001560F2">
    <w:pPr>
      <w:pStyle w:val="Header"/>
      <w:jc w:val="center"/>
    </w:pPr>
    <w:fldSimple w:instr="PAGE   \* MERGEFORMAT">
      <w:r w:rsidRPr="00C23C49">
        <w:rPr>
          <w:noProof/>
          <w:lang w:val="ru-RU"/>
        </w:rPr>
        <w:t>5</w:t>
      </w:r>
    </w:fldSimple>
  </w:p>
  <w:p w:rsidR="00F90F57" w:rsidRDefault="00F90F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57" w:rsidRDefault="00F90F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C2809"/>
    <w:multiLevelType w:val="hybridMultilevel"/>
    <w:tmpl w:val="C14AE9C8"/>
    <w:lvl w:ilvl="0" w:tplc="6F7A17C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C88"/>
    <w:rsid w:val="00011822"/>
    <w:rsid w:val="001560F2"/>
    <w:rsid w:val="00183131"/>
    <w:rsid w:val="002247B2"/>
    <w:rsid w:val="00464A53"/>
    <w:rsid w:val="00570EDB"/>
    <w:rsid w:val="0058720C"/>
    <w:rsid w:val="005B6185"/>
    <w:rsid w:val="00634910"/>
    <w:rsid w:val="00660A67"/>
    <w:rsid w:val="006C0B77"/>
    <w:rsid w:val="006C4895"/>
    <w:rsid w:val="00777682"/>
    <w:rsid w:val="007A7DA8"/>
    <w:rsid w:val="007E628D"/>
    <w:rsid w:val="008242FF"/>
    <w:rsid w:val="00846E92"/>
    <w:rsid w:val="00862C0C"/>
    <w:rsid w:val="00870751"/>
    <w:rsid w:val="008820A2"/>
    <w:rsid w:val="00922C48"/>
    <w:rsid w:val="009A529A"/>
    <w:rsid w:val="00A2110D"/>
    <w:rsid w:val="00AB7000"/>
    <w:rsid w:val="00B02C88"/>
    <w:rsid w:val="00B10E0F"/>
    <w:rsid w:val="00B65CB8"/>
    <w:rsid w:val="00B915B7"/>
    <w:rsid w:val="00B97F6B"/>
    <w:rsid w:val="00BF4B7C"/>
    <w:rsid w:val="00C23C49"/>
    <w:rsid w:val="00C44AAE"/>
    <w:rsid w:val="00D94FAF"/>
    <w:rsid w:val="00E406BE"/>
    <w:rsid w:val="00E6285C"/>
    <w:rsid w:val="00E65279"/>
    <w:rsid w:val="00E72129"/>
    <w:rsid w:val="00EA2C99"/>
    <w:rsid w:val="00EA59DF"/>
    <w:rsid w:val="00EE4070"/>
    <w:rsid w:val="00F12C76"/>
    <w:rsid w:val="00F90F57"/>
    <w:rsid w:val="00FA67B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88"/>
    <w:rPr>
      <w:rFonts w:ascii="Times New Roman" w:hAnsi="Times New Roman"/>
      <w:sz w:val="24"/>
      <w:szCs w:val="24"/>
      <w:lang w:eastAsia="ru-RU"/>
    </w:rPr>
  </w:style>
  <w:style w:type="paragraph" w:styleId="Heading1">
    <w:name w:val="heading 1"/>
    <w:basedOn w:val="Normal"/>
    <w:next w:val="Normal"/>
    <w:link w:val="Heading1Char"/>
    <w:uiPriority w:val="99"/>
    <w:qFormat/>
    <w:rsid w:val="00B02C88"/>
    <w:pPr>
      <w:keepNext/>
      <w:ind w:firstLine="720"/>
      <w:jc w:val="center"/>
      <w:outlineLvl w:val="0"/>
    </w:pPr>
    <w:rPr>
      <w:rFonts w:eastAsia="Times New Roman"/>
      <w:b/>
      <w:bCs/>
      <w:i/>
      <w:iCs/>
    </w:rPr>
  </w:style>
  <w:style w:type="paragraph" w:styleId="Heading7">
    <w:name w:val="heading 7"/>
    <w:basedOn w:val="Normal"/>
    <w:next w:val="Normal"/>
    <w:link w:val="Heading7Char"/>
    <w:uiPriority w:val="99"/>
    <w:qFormat/>
    <w:rsid w:val="00B02C88"/>
    <w:pPr>
      <w:keepNext/>
      <w:jc w:val="both"/>
      <w:outlineLvl w:val="6"/>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2C88"/>
    <w:rPr>
      <w:rFonts w:ascii="Times New Roman" w:hAnsi="Times New Roman" w:cs="Times New Roman"/>
      <w:b/>
      <w:bCs/>
      <w:i/>
      <w:iCs/>
      <w:sz w:val="24"/>
      <w:szCs w:val="24"/>
      <w:lang w:val="uk-UA" w:eastAsia="ru-RU"/>
    </w:rPr>
  </w:style>
  <w:style w:type="character" w:customStyle="1" w:styleId="Heading7Char">
    <w:name w:val="Heading 7 Char"/>
    <w:basedOn w:val="DefaultParagraphFont"/>
    <w:link w:val="Heading7"/>
    <w:uiPriority w:val="99"/>
    <w:semiHidden/>
    <w:locked/>
    <w:rsid w:val="00B02C88"/>
    <w:rPr>
      <w:rFonts w:ascii="Times New Roman" w:eastAsia="Times New Roman" w:hAnsi="Times New Roman" w:cs="Times New Roman"/>
      <w:sz w:val="24"/>
      <w:szCs w:val="24"/>
      <w:lang w:val="uk-UA" w:eastAsia="ru-RU"/>
    </w:rPr>
  </w:style>
  <w:style w:type="paragraph" w:styleId="BodyTextIndent2">
    <w:name w:val="Body Text Indent 2"/>
    <w:basedOn w:val="Normal"/>
    <w:link w:val="BodyTextIndent2Char"/>
    <w:uiPriority w:val="99"/>
    <w:rsid w:val="00B02C88"/>
    <w:pPr>
      <w:spacing w:line="360" w:lineRule="auto"/>
      <w:ind w:firstLine="720"/>
      <w:jc w:val="both"/>
    </w:pPr>
    <w:rPr>
      <w:sz w:val="28"/>
      <w:szCs w:val="28"/>
    </w:rPr>
  </w:style>
  <w:style w:type="character" w:customStyle="1" w:styleId="BodyTextIndent2Char">
    <w:name w:val="Body Text Indent 2 Char"/>
    <w:basedOn w:val="DefaultParagraphFont"/>
    <w:link w:val="BodyTextIndent2"/>
    <w:uiPriority w:val="99"/>
    <w:locked/>
    <w:rsid w:val="00B02C88"/>
    <w:rPr>
      <w:rFonts w:ascii="Times New Roman" w:eastAsia="Times New Roman" w:hAnsi="Times New Roman" w:cs="Times New Roman"/>
      <w:sz w:val="28"/>
      <w:szCs w:val="28"/>
      <w:lang w:val="uk-UA" w:eastAsia="ru-RU"/>
    </w:rPr>
  </w:style>
  <w:style w:type="paragraph" w:styleId="Header">
    <w:name w:val="header"/>
    <w:basedOn w:val="Normal"/>
    <w:link w:val="HeaderChar"/>
    <w:uiPriority w:val="99"/>
    <w:rsid w:val="00E65279"/>
    <w:pPr>
      <w:tabs>
        <w:tab w:val="center" w:pos="4819"/>
        <w:tab w:val="right" w:pos="9639"/>
      </w:tabs>
    </w:pPr>
  </w:style>
  <w:style w:type="character" w:customStyle="1" w:styleId="HeaderChar">
    <w:name w:val="Header Char"/>
    <w:basedOn w:val="DefaultParagraphFont"/>
    <w:link w:val="Header"/>
    <w:uiPriority w:val="99"/>
    <w:locked/>
    <w:rsid w:val="00E65279"/>
    <w:rPr>
      <w:rFonts w:ascii="Times New Roman" w:eastAsia="Times New Roman" w:hAnsi="Times New Roman" w:cs="Times New Roman"/>
      <w:sz w:val="24"/>
      <w:szCs w:val="24"/>
      <w:lang w:val="uk-UA" w:eastAsia="ru-RU"/>
    </w:rPr>
  </w:style>
  <w:style w:type="paragraph" w:styleId="Footer">
    <w:name w:val="footer"/>
    <w:basedOn w:val="Normal"/>
    <w:link w:val="FooterChar"/>
    <w:uiPriority w:val="99"/>
    <w:rsid w:val="00E65279"/>
    <w:pPr>
      <w:tabs>
        <w:tab w:val="center" w:pos="4819"/>
        <w:tab w:val="right" w:pos="9639"/>
      </w:tabs>
    </w:pPr>
  </w:style>
  <w:style w:type="character" w:customStyle="1" w:styleId="FooterChar">
    <w:name w:val="Footer Char"/>
    <w:basedOn w:val="DefaultParagraphFont"/>
    <w:link w:val="Footer"/>
    <w:uiPriority w:val="99"/>
    <w:locked/>
    <w:rsid w:val="00E65279"/>
    <w:rPr>
      <w:rFonts w:ascii="Times New Roman" w:eastAsia="Times New Roman" w:hAnsi="Times New Roman" w:cs="Times New Roman"/>
      <w:sz w:val="24"/>
      <w:szCs w:val="24"/>
      <w:lang w:val="uk-UA" w:eastAsia="ru-RU"/>
    </w:rPr>
  </w:style>
  <w:style w:type="paragraph" w:styleId="BalloonText">
    <w:name w:val="Balloon Text"/>
    <w:basedOn w:val="Normal"/>
    <w:link w:val="BalloonTextChar"/>
    <w:uiPriority w:val="99"/>
    <w:semiHidden/>
    <w:rsid w:val="007E628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E628D"/>
    <w:rPr>
      <w:rFonts w:ascii="Segoe UI" w:eastAsia="Times New Roman" w:hAnsi="Segoe UI" w:cs="Segoe UI"/>
      <w:sz w:val="18"/>
      <w:szCs w:val="18"/>
      <w:lang w:val="uk-UA" w:eastAsia="ru-RU"/>
    </w:rPr>
  </w:style>
  <w:style w:type="paragraph" w:styleId="ListParagraph">
    <w:name w:val="List Paragraph"/>
    <w:basedOn w:val="Normal"/>
    <w:uiPriority w:val="99"/>
    <w:qFormat/>
    <w:rsid w:val="00E72129"/>
    <w:pPr>
      <w:ind w:left="720"/>
      <w:contextualSpacing/>
    </w:pPr>
  </w:style>
</w:styles>
</file>

<file path=word/webSettings.xml><?xml version="1.0" encoding="utf-8"?>
<w:webSettings xmlns:r="http://schemas.openxmlformats.org/officeDocument/2006/relationships" xmlns:w="http://schemas.openxmlformats.org/wordprocessingml/2006/main">
  <w:divs>
    <w:div w:id="2119984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5</Pages>
  <Words>7497</Words>
  <Characters>4274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user</cp:lastModifiedBy>
  <cp:revision>28</cp:revision>
  <cp:lastPrinted>2026-04-23T07:03:00Z</cp:lastPrinted>
  <dcterms:created xsi:type="dcterms:W3CDTF">2026-04-03T12:04:00Z</dcterms:created>
  <dcterms:modified xsi:type="dcterms:W3CDTF">2026-04-23T07:03:00Z</dcterms:modified>
</cp:coreProperties>
</file>